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>
          <w:rStyle w:val="Zadanifontodlomka"/>
          <w:sz w:val="24"/>
          <w:szCs w:val="24"/>
          <w:lang w:eastAsia="hr-HR"/>
        </w:rPr>
        <w:drawing>
          <wp:inline distT="0" distB="101600" distL="0" distR="0">
            <wp:extent cx="3209925" cy="1905000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rFonts w:ascii="Times New Roman" w:hAnsi="Times New Roman" w:eastAsia="Times New Roman"/>
          <w:b/>
          <w:b/>
          <w:sz w:val="24"/>
          <w:szCs w:val="24"/>
          <w:lang w:val="en-US"/>
        </w:rPr>
      </w:pPr>
      <w:r>
        <w:rPr>
          <w:rFonts w:eastAsia="Times New Roman" w:ascii="Times New Roman" w:hAnsi="Times New Roman"/>
          <w:b/>
          <w:sz w:val="24"/>
          <w:szCs w:val="24"/>
          <w:lang w:val="en-US"/>
        </w:rPr>
        <w:t>GRADONAČELNIK</w:t>
        <w:tab/>
      </w:r>
    </w:p>
    <w:p>
      <w:pPr>
        <w:pStyle w:val="Normal1"/>
        <w:suppressAutoHyphens w:val="false"/>
        <w:spacing w:before="0" w:after="0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KLASA: 602-01/19-01/</w:t>
        <w:tab/>
        <w:tab/>
        <w:tab/>
        <w:tab/>
      </w:r>
    </w:p>
    <w:p>
      <w:pPr>
        <w:pStyle w:val="Normal1"/>
        <w:suppressAutoHyphens w:val="false"/>
        <w:spacing w:before="0" w:after="0"/>
        <w:textAlignment w:val="auto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val="en-GB"/>
        </w:rPr>
        <w:t>URBROJ</w:t>
      </w:r>
      <w:r>
        <w:rPr>
          <w:rStyle w:val="Zadanifontodlomka"/>
          <w:rFonts w:eastAsia="Times New Roman" w:ascii="Times New Roman" w:hAnsi="Times New Roman"/>
          <w:sz w:val="24"/>
          <w:szCs w:val="24"/>
        </w:rPr>
        <w:t>: 2188/01-02-19-</w:t>
      </w:r>
    </w:p>
    <w:p>
      <w:pPr>
        <w:pStyle w:val="Normal1"/>
        <w:suppressAutoHyphens w:val="false"/>
        <w:spacing w:before="0" w:after="0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Vinkovci, ____________2019. god.</w:t>
      </w:r>
    </w:p>
    <w:p>
      <w:pPr>
        <w:pStyle w:val="Normal1"/>
        <w:suppressAutoHyphens w:val="false"/>
        <w:spacing w:before="0" w:after="0"/>
        <w:textAlignment w:val="auto"/>
        <w:rPr>
          <w:rFonts w:ascii="Times New Roman" w:hAnsi="Times New Roman" w:eastAsia="Times New Roman"/>
          <w:iCs/>
          <w:sz w:val="24"/>
          <w:szCs w:val="24"/>
        </w:rPr>
      </w:pPr>
      <w:r>
        <w:rPr>
          <w:rFonts w:eastAsia="Times New Roman" w:ascii="Times New Roman" w:hAnsi="Times New Roman"/>
          <w:iCs/>
          <w:sz w:val="24"/>
          <w:szCs w:val="24"/>
        </w:rPr>
      </w:r>
    </w:p>
    <w:p>
      <w:pPr>
        <w:pStyle w:val="Normal1"/>
        <w:suppressAutoHyphens w:val="false"/>
        <w:spacing w:before="0" w:after="0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          </w:t>
      </w:r>
      <w:r>
        <w:rPr>
          <w:rFonts w:eastAsia="Times New Roman" w:ascii="Times New Roman" w:hAnsi="Times New Roman"/>
          <w:sz w:val="24"/>
          <w:szCs w:val="24"/>
        </w:rPr>
        <w:t xml:space="preserve">Gradonačelnik Grada Vinkovaca temeljem članka 44. i 48. Zakona o lokalnoj i područnoj (regionalnoj) samoupravi („Narodne novine“ br. 33/01., 60/01.- vjerodostojno tumačenje, 129/05., 109/07., 125/08., 36/09., 150/11., 144/12.,19/13. i 137/15.)  i članka 47. Statuta Grada Vinkovaca ( “Službeni glasnik” Grada Vinkovaca broj 08/09., 01/13. i 02/18.)              d o n o s i 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>
          <w:rStyle w:val="Naglaeno"/>
          <w:rFonts w:ascii="Times New Roman" w:hAnsi="Times New Roman"/>
          <w:sz w:val="24"/>
          <w:szCs w:val="24"/>
        </w:rPr>
        <w:t>PRAVILNIK</w:t>
      </w:r>
    </w:p>
    <w:p>
      <w:pPr>
        <w:pStyle w:val="Normal1"/>
        <w:jc w:val="center"/>
        <w:rPr/>
      </w:pPr>
      <w:r>
        <w:rPr>
          <w:rStyle w:val="Naglaeno"/>
          <w:rFonts w:ascii="Times New Roman" w:hAnsi="Times New Roman"/>
          <w:sz w:val="24"/>
          <w:szCs w:val="24"/>
        </w:rPr>
        <w:t>o uvjetima, kriterijima i postupku dodjele stipendija redovitim učenicima srednjih škola</w:t>
      </w:r>
    </w:p>
    <w:p>
      <w:pPr>
        <w:pStyle w:val="Normal1"/>
        <w:jc w:val="center"/>
        <w:rPr/>
      </w:pPr>
      <w:r>
        <w:rPr>
          <w:rStyle w:val="Naglaeno"/>
          <w:rFonts w:ascii="Times New Roman" w:hAnsi="Times New Roman"/>
          <w:sz w:val="24"/>
          <w:szCs w:val="24"/>
        </w:rPr>
        <w:t>s područja grada Vinkovaca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OPĆE ODREDBE</w:t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Ovim Pravilnikom uređuju se uvjeti, kriteriji i postupak dodjele gradske stipendije učenicima srednjih škola. 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Pojmovi koji se koriste u ovom Pravilniku, a imaju rodno značenje, bez obzira na to koriste li se u ženskom ili muškom rodu, odnose se jednako na ženski i muški rod.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Sukladno odredbama ovog Pravilnika, za dodjelu gradskih  stipendija (u daljnjem tekstu: stipendije) mogu se natjecati svi redoviti učenici srednjoškolskih obrazovnih programa od II. do IV. razreda  (u daljnjem tekstu: učenici).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Pravo na dodjelu gradskih stipendija imaju učenici koji su državljani Republike Hrvatske, imaju prebivalište na području grada Vinkovaca i prosjek ocjena za prethodni razred srednje škole  najmanje 4,50.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Sredstva za stipendije osiguravaju se u Proračunu Grada Vinkovaca..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Broj i mjesečnu visinu stipendija za svaku školsku godinu određuje Gradonačelnik, ovisno o iznosu koji je osiguran za tu namjenu u Proračunu Grada. 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Stipendije se dodjeljuju putem natječaja koji provodi Upravni odjel društvenih djelatnosti (dalje u tekstu: Upravni odjel) u skladu s odredbama ovog Pravilnika.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Natječaj raspisuje Gradonačelnik  najkasnije do 31. listopada tekuće godine.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Natječaj se objavljuje na službenoj mrežnoj stranici Grada  te u lokalnom tisku. Natječaj obvezno sadrži: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uvjete i kriterije za dodjelu stipendije,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vrijeme trajanja Natječaja,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naziv i adresu tijela kojem se zahtjevi podnose,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rok u kojem će biti objavljeni rezultati Natječaja,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broj stipendija koje se dodjeljuju te mjesečni iznos stipendija.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ezproreda"/>
        <w:ind w:left="720" w:hanging="0"/>
        <w:rPr/>
      </w:pPr>
      <w:r>
        <w:rPr/>
      </w:r>
    </w:p>
    <w:p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POTREBNA DOKUMENTACIJA UZ ZAHTJEV</w:t>
      </w:r>
    </w:p>
    <w:p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Zahtjevi za stipendiju podnose se na propisanom obrascu koji izdaje Upravni odjel, a koji se objavljuje i može se preuzeti na službenoj mrežnoj stranici Grada Vinkovaca i u Upravnom odjelu.</w:t>
      </w:r>
    </w:p>
    <w:p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Zahtjevu za dodjelu učeničke stipendije prilaže se :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preslika domovnice ili osobne iskaznice,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potvrda srednje škole o statusu redovitog učenika,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preslika svjedodžbe zadnjeg završenog razreda srednje škole.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Izjava podnositelja zahtjeva da ne prima stipendiju ili novčanu pomoć po drugoj osnovi (na posebnom obrascu Upravnog odjela).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5.   Izjavu o članovima kućanstva (na obrascu Upravnog odjela)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   Službene potvrde o prihodima svih članova kućanstva u posljednja tri mjeseca koja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prethode mjesecu objave natječaja u javnom glasilu 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7.  Ostala dokumentacija kojom se dokazuju posebne okolnosti prema kriterijima iz ovog Pravilnika,  članak 10. točka 2.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8. Dokumentacija kojom se dokazuju rezultati iz članka 10. točke 1. b)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Rok za podnošenje zahtjeva iznosi 15 dana od dana objave natječaja u javnom glasilu, a u postupak obrade uzimaju se samo potpuno dokumentirani zahtjevi.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Zahtjeve za dodjelu stipendija razmatra Povjerenstvo za stipendije (dalje u tekstu: Povjerenstvo) koje imenuje gradonačelnik, a sastoji se od predsjednika i dva člana.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Administrativne i druge poslove za potrebe Povjerenstva obavlja Upravni odjel.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9.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Zahtjevi koji su nepotpuni ili koji su dostavljeni van propisanog roka se ne upućuju u daljnji postupak i o tome se obavještava njihove podnositelje u roku od 14 dana.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NAČIN BODOVANJA ZAHTJEVA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10.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 bodovanja zahtjeva za dodjelu učeničkih stipendija vrši se prema sljedećim kriterijima: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lomakpopisa"/>
        <w:numPr>
          <w:ilvl w:val="0"/>
          <w:numId w:val="2"/>
        </w:numPr>
        <w:rPr/>
      </w:pPr>
      <w:r>
        <w:rPr>
          <w:rStyle w:val="Zadanifontodlomka"/>
          <w:rFonts w:ascii="Times New Roman" w:hAnsi="Times New Roman"/>
          <w:b/>
          <w:sz w:val="24"/>
          <w:szCs w:val="24"/>
        </w:rPr>
        <w:t>a) Uspjeh u učenju</w:t>
      </w:r>
      <w:r>
        <w:rPr>
          <w:rStyle w:val="Zadanifontodlomka"/>
          <w:rFonts w:ascii="Times New Roman" w:hAnsi="Times New Roman"/>
          <w:sz w:val="24"/>
          <w:szCs w:val="24"/>
        </w:rPr>
        <w:t xml:space="preserve"> – do 80 bodova, na sljedeći način:</w:t>
      </w:r>
    </w:p>
    <w:tbl>
      <w:tblPr>
        <w:tblW w:w="6140" w:type="dxa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700"/>
        <w:gridCol w:w="3440"/>
      </w:tblGrid>
      <w:tr>
        <w:trPr>
          <w:trHeight w:val="480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4,50 – 4,60 </w:t>
            </w:r>
          </w:p>
        </w:tc>
        <w:tc>
          <w:tcPr>
            <w:tcW w:w="3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pacing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45  bodova</w:t>
            </w:r>
          </w:p>
        </w:tc>
      </w:tr>
      <w:tr>
        <w:trPr>
          <w:trHeight w:val="570" w:hRule="atLeast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4,61 – 4,70      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pacing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55  bodova</w:t>
            </w:r>
          </w:p>
        </w:tc>
      </w:tr>
      <w:tr>
        <w:trPr>
          <w:trHeight w:val="510" w:hRule="atLeast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      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4,71 – 4,85 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pacing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65  bodova</w:t>
            </w:r>
          </w:p>
        </w:tc>
      </w:tr>
      <w:tr>
        <w:trPr>
          <w:trHeight w:val="585" w:hRule="atLeast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      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4,86 – 4,99           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pacing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75  bodova</w:t>
            </w:r>
          </w:p>
        </w:tc>
      </w:tr>
      <w:tr>
        <w:trPr>
          <w:trHeight w:val="315" w:hRule="atLeast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           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pacing w:before="0" w:after="0"/>
              <w:ind w:left="360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80 bodova</w:t>
            </w:r>
          </w:p>
        </w:tc>
      </w:tr>
    </w:tbl>
    <w:p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Uspjeh na natjecanjima – do 20 bodova, na sljedeći način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županijsko natjecanje :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osvojeno 1. mjesto – 15 bodova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osvojeno 2. mjesto – 12 bodova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osvojeno 3. mjesto – 10 bodova 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državno natjecanje  bez obzira na osvojeno mjesto  - 17 bodova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međunarodno natjecanje bez obzira na osvojeno mjesto  - 20 bodova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lomakpopisa"/>
        <w:numPr>
          <w:ilvl w:val="0"/>
          <w:numId w:val="2"/>
        </w:numPr>
        <w:rPr/>
      </w:pPr>
      <w:r>
        <w:rPr>
          <w:rStyle w:val="Zadanifontodlomka"/>
          <w:rFonts w:ascii="Times New Roman" w:hAnsi="Times New Roman"/>
          <w:b/>
          <w:sz w:val="24"/>
          <w:szCs w:val="24"/>
        </w:rPr>
        <w:t xml:space="preserve">Ostale posebnosti u kućanstvu podnositelja </w:t>
      </w:r>
      <w:r>
        <w:rPr>
          <w:rStyle w:val="Zadanifontodlomka"/>
          <w:rFonts w:ascii="Times New Roman" w:hAnsi="Times New Roman"/>
          <w:sz w:val="24"/>
          <w:szCs w:val="24"/>
        </w:rPr>
        <w:t xml:space="preserve"> – do 15 bodova, na sljedeći način:</w:t>
      </w:r>
    </w:p>
    <w:p>
      <w:pPr>
        <w:pStyle w:val="Odlomakpopisa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djeca smrtno stradalih hrvatskih branitelja iz Domovinskog rata i djeca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zatočenih ili nestalih hrvatskih branitelja iz Domovinskog rata, djeca hrvatskih ratnih vojnih invalida iz Domovinskog rata  - 15 bodova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djeca samohranih roditelja -  10 bodova</w:t>
      </w:r>
    </w:p>
    <w:p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djeca civilnih invalida sa 80% do 100% oštećenja organizma  – 15 bodova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c)   ostali članovi obitelji koji se školuju (osnovna škola, srednja škola, fakultet)  po djetetu -   5 bodova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11.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        </w:t>
      </w:r>
      <w:r>
        <w:rPr>
          <w:rStyle w:val="Zadanifontodlomka"/>
          <w:rFonts w:ascii="Times New Roman" w:hAnsi="Times New Roman"/>
          <w:sz w:val="24"/>
          <w:szCs w:val="24"/>
        </w:rPr>
        <w:t xml:space="preserve">   </w:t>
      </w:r>
      <w:r>
        <w:rPr>
          <w:rStyle w:val="Zadanifontodlomka"/>
          <w:rFonts w:ascii="Times New Roman" w:hAnsi="Times New Roman"/>
          <w:sz w:val="24"/>
          <w:szCs w:val="24"/>
        </w:rPr>
        <w:t>Na osnovi podataka o članovima kućanstva (pisana izjava uz zahtjev) i dokumentacije o svim prihodima tog kućanstva, izračunava se prihod po članu kućanstva i isti se boduje.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Kao mjesečni prihod članova kućanstva smatraju se prihodi koje članovi kućanstva ostvaruju iz plaća, mirovina ili drugih vrsta prihoda.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Prihodi kućanstva koji se ostvaruju po nekom od kriterija u skladu s važećim Zakonom o socijalnoj skrbi (npr. dječji doplatak), ne ulaze u prihode kućanstva. Prihodi kućanstva u smislu kriterija iz ovog Pravilnika, definiraju se sukladno odredbama važećeg Zakona o socijalnoj skrbi.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Iznos prihoda po članu kućanstva u odnosu na prosječnu mjesečnu neto plaću po zaposlenom u poduzetništvu u Vukovarsko – srijemskoj županiji u prethodnoj godini, boduje se kako slijedi:</w:t>
      </w:r>
    </w:p>
    <w:p>
      <w:pPr>
        <w:pStyle w:val="Normal1"/>
        <w:rPr/>
      </w:pPr>
      <w:r>
        <w:rPr/>
      </w:r>
    </w:p>
    <w:tbl>
      <w:tblPr>
        <w:tblW w:w="6960" w:type="dxa"/>
        <w:jc w:val="left"/>
        <w:tblInd w:w="103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100"/>
        <w:gridCol w:w="2860"/>
      </w:tblGrid>
      <w:tr>
        <w:trPr>
          <w:trHeight w:val="435" w:hRule="atLeast"/>
        </w:trPr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uppressAutoHyphens w:val="false"/>
              <w:spacing w:before="0" w:after="0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do 19,99 %                                       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uppressAutoHyphens w:val="false"/>
              <w:spacing w:before="0" w:after="0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35 bodova</w:t>
            </w:r>
          </w:p>
        </w:tc>
      </w:tr>
      <w:tr>
        <w:trPr>
          <w:trHeight w:val="390" w:hRule="atLeast"/>
        </w:trPr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uppressAutoHyphens w:val="false"/>
              <w:spacing w:before="0" w:after="0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od 20 – 29,99 %                                      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uppressAutoHyphens w:val="false"/>
              <w:spacing w:before="0" w:after="0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30 bodova</w:t>
            </w:r>
          </w:p>
        </w:tc>
      </w:tr>
      <w:tr>
        <w:trPr>
          <w:trHeight w:val="390" w:hRule="atLeast"/>
        </w:trPr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uppressAutoHyphens w:val="false"/>
              <w:spacing w:before="0" w:after="0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od 30 – 39,99 %                                 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uppressAutoHyphens w:val="false"/>
              <w:spacing w:before="0" w:after="0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25 bodova</w:t>
            </w:r>
          </w:p>
        </w:tc>
      </w:tr>
      <w:tr>
        <w:trPr>
          <w:trHeight w:val="435" w:hRule="atLeast"/>
        </w:trPr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uppressAutoHyphens w:val="false"/>
              <w:spacing w:before="0" w:after="0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od 40 – 49,99 %                                     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uppressAutoHyphens w:val="false"/>
              <w:spacing w:before="0" w:after="0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20 bodova</w:t>
            </w:r>
          </w:p>
        </w:tc>
      </w:tr>
      <w:tr>
        <w:trPr>
          <w:trHeight w:val="375" w:hRule="atLeast"/>
        </w:trPr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uppressAutoHyphens w:val="false"/>
              <w:spacing w:before="0" w:after="0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od 50 – 59,99%                                       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uppressAutoHyphens w:val="false"/>
              <w:spacing w:before="0" w:after="0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15 bodova</w:t>
            </w:r>
          </w:p>
        </w:tc>
      </w:tr>
      <w:tr>
        <w:trPr>
          <w:trHeight w:val="360" w:hRule="atLeast"/>
        </w:trPr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uppressAutoHyphens w:val="false"/>
              <w:spacing w:before="0" w:after="0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 xml:space="preserve">60 %  -100%                                    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uppressAutoHyphens w:val="false"/>
              <w:spacing w:before="0" w:after="0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10 bodova</w:t>
            </w:r>
          </w:p>
        </w:tc>
      </w:tr>
      <w:tr>
        <w:trPr>
          <w:trHeight w:val="375" w:hRule="atLeast"/>
        </w:trPr>
        <w:tc>
          <w:tcPr>
            <w:tcW w:w="4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1"/>
              <w:suppressAutoHyphens w:val="false"/>
              <w:spacing w:before="0" w:after="0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više od 100%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suppressAutoHyphens w:val="false"/>
              <w:spacing w:before="0" w:after="0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hr-HR"/>
              </w:rPr>
              <w:t>0 bodova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12.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Ako dva ili više podnositelja zahtjeva imaju jednak broj bodova, prednost imaju oni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koji  imaju viši prosjek po osnovi uspjeha u učenju.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Ukoliko u postupku natječaja iz jednog kućanstva sudjeluju dva ili više učenika 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pravo na stipendiju, u pravilu, ostvaruje samo jedan učenik  iz istog kućanstva koji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ostvario ukupno veći broj bodova.</w:t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13.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Povjerenstvo, na temelju kriterija iz ovog Pravilnika, vrši bodovanje i sastavlja redoslijedne liste podnositelja zahtjeva na način da se podnositelju zahtjeva s najvećim brojem bodova dodjeljuje redni broj 1 na redoslijednoj listi.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Pravo na stipendiju ostvaruju podnositelji zahtjeva od rednog broja 1 na redoslijednoj listi do rednog broja koji odgovara broju stipendija koji se dodjeljuje.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Redoslijedne liste se objavljuju na oglasnoj ploči i službenoj mrežnoj stranici Grada Vinkovaca. 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U roku 8 dana od dana objave redoslijednih lista podnositelji zahtjeva imaju pravo prigovora Gradonačelniku.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Odluka Gradonačelnika o prigovoru je konačna.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Na osnovi redoslijednih lista, Grad s korisnicima stipendija sklapa ugovore o stipendiranju.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Ako podnositelj zahtjeva koji je ostvario pravo na stipendiju odustane od stipendije, pravo na stipendiju ostvaruje podnositelj zahtjeva koji je prvi ispod crte na redoslijednoj listi.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PRAVA I OBVEZE KORISNIKA STIPENDIJE</w:t>
      </w:r>
    </w:p>
    <w:p>
      <w:pPr>
        <w:pStyle w:val="Odlomakpopisa"/>
        <w:ind w:left="108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14.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Ugovor o stipendiranju obavezno sadrži: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naziv ugovornih strana,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iznos visine odobrene stipendije,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obrazovni profil za koji je odobrena stipendija (naziv škole),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razdoblje za koje je stipendija odobrena,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dinamiku isplate stipendije,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obvezu vraćanja primljenih iznosa stipendije,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ostale kriterije, obveze i prava ugovornih strana,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Prijedlog ugovora o stipendiranju izrađuje Upravni odjel, a potpisuju ga u ime korisnika stipendije učenik kojemu je dodijeljena stipendija i njegov roditelj ili staratelj.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15.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Gradske  stipendije isplaćuju se u razdoblju od početka pa do kraja nastavne godine u pravilu u 10 mjesečnih anuiteta.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16.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Stipendije se dodjeljuju za jednu školsku godinu i u pravilu su bespovratne, osim u slučaju kada učenik tijekom školovanja svojevoljno prekine školovanje. Obveza vraćanja iznosi cjelokupan iznos primljenih stipendija. Nastanak obveze vraćanja, iznos i rok podmirenja obveze utvrđuje se korisniku posebnim aktom Upravnog odjela.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17.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Odredbe o vraćanju stipendija iz ovog Pravilnika ne primjenjuju se u slučaju nastanka izvanrednih okolnosti, koje ne ovise o volji primatelja stipendije.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Odmah po nastanku okolnosti iz prednjeg stavka učenik  ili njegov roditelj – staratelj dužni su pisano izvijestiti Upravni odjel, uz obvezatan prilog dokumentacije kojom se potkrepljuju navodi o čemu Upravni odjel donosi rješenje.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18.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Eventualni sporovi, a naročito u svezi primjene i ispunjavanja obveze korisnika stipendije ovog Pravilnika, rješavat će se putem sporazuma ili nadležnog suda.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19.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Ovaj Pravilnik stupa na snagu prvog dana od dana objave u “Službenom glasniku“ Grada Vinkovaca.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rPr/>
      </w:pPr>
      <w:r>
        <w:rPr>
          <w:rStyle w:val="Zadanifontodlomka"/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Style w:val="Zadanifontodlomka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Zadanifontodlomka"/>
          <w:rFonts w:ascii="Times New Roman" w:hAnsi="Times New Roman"/>
          <w:b/>
          <w:sz w:val="24"/>
          <w:szCs w:val="24"/>
        </w:rPr>
        <w:t>GRADONAČELNIK</w:t>
      </w:r>
    </w:p>
    <w:p>
      <w:pPr>
        <w:pStyle w:val="Normal1"/>
        <w:rPr/>
      </w:pPr>
      <w:r>
        <w:rPr>
          <w:rStyle w:val="Zadanifontodlomka"/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Style w:val="Zadanifontodlomka"/>
          <w:rFonts w:ascii="Times New Roman" w:hAnsi="Times New Roman"/>
          <w:sz w:val="24"/>
          <w:szCs w:val="24"/>
        </w:rPr>
        <w:t>Ivan Bosančić, mag oec.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Naglaeno">
    <w:name w:val="Naglašeno"/>
    <w:basedOn w:val="Zadanifontodlomka"/>
    <w:qFormat/>
    <w:rPr>
      <w:b/>
      <w:bCs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Bezproreda">
    <w:name w:val="Bez proreda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Odlomakpopisa">
    <w:name w:val="Odlomak popisa"/>
    <w:basedOn w:val="Normal1"/>
    <w:qFormat/>
    <w:pPr>
      <w:suppressAutoHyphens w:val="true"/>
      <w:ind w:left="72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</TotalTime>
  <Application>LibreOffice/5.3.4.2$Windows_X86_64 LibreOffice_project/f82d347ccc0be322489bf7da61d7e4ad13fe2ff3</Application>
  <Pages>1</Pages>
  <Words>1462</Words>
  <Characters>8340</Characters>
  <CharactersWithSpaces>9783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2019-07-10T08:00:00Z</dcterms:created>
  <dc:creator>Tehnološki Park</dc:creator>
  <dc:description/>
  <dc:language>hr-HR</dc:language>
  <cp:lastModifiedBy>Tehnološki Park</cp:lastModifiedBy>
  <dcterms:modified xsi:type="dcterms:W3CDTF">2019-08-30T06:45:00Z</dcterms:modified>
  <cp:revision>19</cp:revision>
  <dc:subject/>
  <dc:title/>
</cp:coreProperties>
</file>