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73" w:rsidRDefault="00990D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bookmarkStart w:id="0" w:name="_GoBack"/>
      <w:bookmarkEnd w:id="0"/>
    </w:p>
    <w:p w:rsidR="00990D73" w:rsidRDefault="00990D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990D73" w:rsidRDefault="00990D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990D73" w:rsidRDefault="00990D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990D73" w:rsidRDefault="00945E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JAVNI POZIV GRADA VINKOVACA ZA DODJELU FINANCIJSKIH POTPORA PROGRAMIMA U PODRUČJU IZVANINSTITUCIONALNOG ODGOJA I OBRAZOVANJA DJECE ZA 2019. GODINU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- UPUTE ZA 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PRIJAVITELJE -</w:t>
      </w:r>
    </w:p>
    <w:p w:rsidR="00990D73" w:rsidRDefault="00990D73">
      <w:pPr>
        <w:pStyle w:val="TOCNaslov"/>
        <w:outlineLvl w:val="9"/>
        <w:rPr>
          <w:rFonts w:ascii="Times New Roman" w:hAnsi="Times New Roman" w:cs="Times New Roman"/>
          <w:b/>
          <w:bCs/>
          <w:color w:val="000000"/>
        </w:rPr>
      </w:pPr>
    </w:p>
    <w:p w:rsidR="00990D73" w:rsidRDefault="00990D73">
      <w:pPr>
        <w:pStyle w:val="TOCNaslov"/>
        <w:outlineLvl w:val="9"/>
        <w:rPr>
          <w:rFonts w:ascii="Times New Roman" w:hAnsi="Times New Roman" w:cs="Times New Roman"/>
          <w:b/>
          <w:bCs/>
          <w:color w:val="000000"/>
        </w:rPr>
      </w:pPr>
    </w:p>
    <w:p w:rsidR="00990D73" w:rsidRDefault="00990D73">
      <w:pPr>
        <w:rPr>
          <w:lang w:eastAsia="hr-HR"/>
        </w:rPr>
      </w:pPr>
    </w:p>
    <w:p w:rsidR="00990D73" w:rsidRDefault="00990D73">
      <w:pPr>
        <w:pStyle w:val="TOCNaslov"/>
        <w:outlineLvl w:val="9"/>
        <w:rPr>
          <w:rFonts w:ascii="Times New Roman" w:hAnsi="Times New Roman" w:cs="Times New Roman"/>
          <w:b/>
          <w:bCs/>
          <w:color w:val="000000"/>
        </w:rPr>
      </w:pPr>
    </w:p>
    <w:p w:rsidR="00990D73" w:rsidRDefault="00990D73">
      <w:pPr>
        <w:rPr>
          <w:lang w:eastAsia="hr-HR"/>
        </w:rPr>
      </w:pPr>
    </w:p>
    <w:p w:rsidR="00990D73" w:rsidRDefault="00990D73">
      <w:pPr>
        <w:rPr>
          <w:lang w:eastAsia="hr-HR"/>
        </w:rPr>
      </w:pPr>
    </w:p>
    <w:p w:rsidR="00990D73" w:rsidRDefault="00945E9F">
      <w:pPr>
        <w:pStyle w:val="TOCNaslov"/>
        <w:outlineLvl w:val="9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SADRŽAJ</w:t>
      </w:r>
    </w:p>
    <w:p w:rsidR="00990D73" w:rsidRDefault="00945E9F">
      <w:pPr>
        <w:pStyle w:val="Sadraj1"/>
        <w:tabs>
          <w:tab w:val="right" w:leader="dot" w:pos="9062"/>
        </w:tabs>
      </w:pPr>
      <w:r>
        <w:rPr>
          <w:rFonts w:ascii="Calibri Light" w:eastAsia="Times New Roman" w:hAnsi="Calibri Light" w:cs="Calibri Light"/>
          <w:color w:val="2E74B5"/>
          <w:sz w:val="32"/>
          <w:szCs w:val="32"/>
          <w:lang w:eastAsia="hr-HR"/>
        </w:rPr>
        <w:fldChar w:fldCharType="begin"/>
      </w:r>
      <w:r>
        <w:instrText xml:space="preserve"> TOC \o "1-3" \h </w:instrText>
      </w:r>
      <w:r>
        <w:rPr>
          <w:rFonts w:ascii="Calibri Light" w:eastAsia="Times New Roman" w:hAnsi="Calibri Light" w:cs="Calibri Light"/>
          <w:color w:val="2E74B5"/>
          <w:sz w:val="32"/>
          <w:szCs w:val="32"/>
          <w:lang w:eastAsia="hr-HR"/>
        </w:rPr>
        <w:fldChar w:fldCharType="separate"/>
      </w:r>
      <w:hyperlink r:id="rId7" w:history="1">
        <w:r>
          <w:rPr>
            <w:rStyle w:val="Hiperveza"/>
            <w:rFonts w:ascii="Times New Roman" w:hAnsi="Times New Roman" w:cs="Times New Roman"/>
            <w:b/>
            <w:bCs/>
          </w:rPr>
          <w:t>1. PREDMET JAVNOG POZIVA I OPĆE INFORMACIJE</w:t>
        </w:r>
        <w:r>
          <w:tab/>
          <w:t>3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8" w:history="1">
        <w:r>
          <w:rPr>
            <w:rStyle w:val="Hiperveza"/>
            <w:rFonts w:ascii="Times New Roman" w:hAnsi="Times New Roman" w:cs="Times New Roman"/>
          </w:rPr>
          <w:t>1.1. Zakonska osnova</w:t>
        </w:r>
        <w:r>
          <w:tab/>
          <w:t>3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9" w:history="1">
        <w:r>
          <w:rPr>
            <w:rStyle w:val="Hiperveza"/>
            <w:rFonts w:ascii="Times New Roman" w:hAnsi="Times New Roman" w:cs="Times New Roman"/>
          </w:rPr>
          <w:t>1.2. Provedba Javnog poziva</w:t>
        </w:r>
        <w:r>
          <w:tab/>
          <w:t>3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0" w:history="1">
        <w:r>
          <w:rPr>
            <w:rStyle w:val="Hiperveza"/>
            <w:rFonts w:ascii="Times New Roman" w:hAnsi="Times New Roman" w:cs="Times New Roman"/>
          </w:rPr>
          <w:t>1.3. Cilj Javnog poziva</w:t>
        </w:r>
        <w:r>
          <w:tab/>
          <w:t>3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1" w:history="1">
        <w:r>
          <w:rPr>
            <w:rStyle w:val="Hiperveza"/>
            <w:rFonts w:ascii="Times New Roman" w:hAnsi="Times New Roman" w:cs="Times New Roman"/>
          </w:rPr>
          <w:t>1.4. Područja Javnog poziva</w:t>
        </w:r>
        <w:r>
          <w:tab/>
          <w:t>3</w:t>
        </w:r>
      </w:hyperlink>
    </w:p>
    <w:p w:rsidR="00990D73" w:rsidRDefault="00945E9F">
      <w:pPr>
        <w:pStyle w:val="Sadraj1"/>
        <w:tabs>
          <w:tab w:val="right" w:leader="dot" w:pos="9062"/>
        </w:tabs>
      </w:pPr>
      <w:hyperlink r:id="rId12" w:history="1">
        <w:r>
          <w:rPr>
            <w:rStyle w:val="Hiperveza"/>
            <w:rFonts w:ascii="Times New Roman" w:hAnsi="Times New Roman" w:cs="Times New Roman"/>
            <w:b/>
            <w:bCs/>
          </w:rPr>
          <w:t>2. KRITERIJI PRIHVATLJIVOSTI</w:t>
        </w:r>
        <w:r>
          <w:tab/>
          <w:t>4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3" w:history="1">
        <w:r>
          <w:rPr>
            <w:rStyle w:val="Hiperveza"/>
            <w:rFonts w:ascii="Times New Roman" w:hAnsi="Times New Roman" w:cs="Times New Roman"/>
          </w:rPr>
          <w:t>2.1. Prihvatljivi prijavitelji</w:t>
        </w:r>
        <w:r>
          <w:tab/>
          <w:t>4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4" w:history="1">
        <w:r>
          <w:rPr>
            <w:rStyle w:val="Hiperveza"/>
            <w:rFonts w:ascii="Times New Roman" w:hAnsi="Times New Roman" w:cs="Times New Roman"/>
          </w:rPr>
          <w:t>2.2. Prihvatljive aktivnosti i lokacija</w:t>
        </w:r>
        <w:r>
          <w:tab/>
          <w:t>4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5" w:history="1">
        <w:r>
          <w:rPr>
            <w:rStyle w:val="Hiperveza"/>
            <w:rFonts w:ascii="Times New Roman" w:hAnsi="Times New Roman" w:cs="Times New Roman"/>
          </w:rPr>
          <w:t>2.3. Prihvatljivi troškovi provedbe programa</w:t>
        </w:r>
        <w:r>
          <w:tab/>
          <w:t>4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6" w:history="1">
        <w:r>
          <w:rPr>
            <w:rStyle w:val="Hiperveza"/>
            <w:rFonts w:ascii="Times New Roman" w:hAnsi="Times New Roman" w:cs="Times New Roman"/>
          </w:rPr>
          <w:t>2.4. Pregled osnovnih vrsta troškova koji su prihvatljivi u okviru Javnog poziva</w:t>
        </w:r>
        <w:r>
          <w:tab/>
        </w:r>
        <w:r>
          <w:t>5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7" w:history="1">
        <w:r>
          <w:rPr>
            <w:rStyle w:val="Hiperveza"/>
            <w:rFonts w:ascii="Times New Roman" w:hAnsi="Times New Roman" w:cs="Times New Roman"/>
          </w:rPr>
          <w:t>2.5. Neprihvatljivi troškovi</w:t>
        </w:r>
        <w:r>
          <w:tab/>
          <w:t>5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8" w:history="1">
        <w:r>
          <w:rPr>
            <w:rStyle w:val="Hiperveza"/>
            <w:rFonts w:ascii="Times New Roman" w:hAnsi="Times New Roman" w:cs="Times New Roman"/>
          </w:rPr>
          <w:t>2.6. Zabrana dvostrukog financiranja</w:t>
        </w:r>
        <w:r>
          <w:tab/>
          <w:t>6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19" w:history="1">
        <w:r>
          <w:rPr>
            <w:rStyle w:val="Hiperveza"/>
            <w:rFonts w:ascii="Times New Roman" w:hAnsi="Times New Roman" w:cs="Times New Roman"/>
          </w:rPr>
          <w:t>2.7. Datum objave Javnog poziva i rok za podnošenje prijava</w:t>
        </w:r>
        <w:r>
          <w:tab/>
          <w:t>6</w:t>
        </w:r>
      </w:hyperlink>
    </w:p>
    <w:p w:rsidR="00990D73" w:rsidRDefault="00945E9F">
      <w:pPr>
        <w:pStyle w:val="Sadraj1"/>
        <w:tabs>
          <w:tab w:val="right" w:leader="dot" w:pos="9062"/>
        </w:tabs>
      </w:pPr>
      <w:hyperlink r:id="rId20" w:history="1">
        <w:r>
          <w:rPr>
            <w:rStyle w:val="Hiperveza"/>
            <w:rFonts w:ascii="Times New Roman" w:hAnsi="Times New Roman" w:cs="Times New Roman"/>
            <w:b/>
            <w:bCs/>
          </w:rPr>
          <w:t>3. POSTUPAK PRIJAVE</w:t>
        </w:r>
        <w:r>
          <w:tab/>
          <w:t>6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1" w:history="1">
        <w:r>
          <w:rPr>
            <w:rStyle w:val="Hiperveza"/>
            <w:rFonts w:ascii="Times New Roman" w:hAnsi="Times New Roman" w:cs="Times New Roman"/>
          </w:rPr>
          <w:t>3.1. Popis obvezne dokumentacije</w:t>
        </w:r>
        <w:r>
          <w:tab/>
          <w:t>6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2" w:history="1">
        <w:r>
          <w:rPr>
            <w:rStyle w:val="Hiperveza"/>
            <w:rFonts w:ascii="Times New Roman" w:hAnsi="Times New Roman" w:cs="Times New Roman"/>
          </w:rPr>
          <w:t>3.2. Neobvezna popratna dokumentacija</w:t>
        </w:r>
        <w:r>
          <w:tab/>
          <w:t>7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3" w:history="1">
        <w:r>
          <w:rPr>
            <w:rStyle w:val="Hiperveza"/>
            <w:rFonts w:ascii="Times New Roman" w:hAnsi="Times New Roman" w:cs="Times New Roman"/>
          </w:rPr>
          <w:t>3.3. Rokovi i način predaje prijava</w:t>
        </w:r>
        <w:r>
          <w:tab/>
          <w:t>7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4" w:history="1">
        <w:r>
          <w:rPr>
            <w:rStyle w:val="Hiperveza"/>
            <w:rFonts w:ascii="Times New Roman" w:hAnsi="Times New Roman" w:cs="Times New Roman"/>
          </w:rPr>
          <w:t>3.4. Dodatne informacije</w:t>
        </w:r>
        <w:r>
          <w:tab/>
          <w:t>7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5" w:history="1">
        <w:r>
          <w:rPr>
            <w:rStyle w:val="Hiperveza"/>
            <w:rFonts w:ascii="Times New Roman" w:hAnsi="Times New Roman" w:cs="Times New Roman"/>
          </w:rPr>
          <w:t>3.4.1. Pitanja i odgovori</w:t>
        </w:r>
        <w:r>
          <w:tab/>
          <w:t>7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6" w:history="1">
        <w:r>
          <w:rPr>
            <w:rStyle w:val="Hiperveza"/>
            <w:rFonts w:ascii="Times New Roman" w:hAnsi="Times New Roman" w:cs="Times New Roman"/>
          </w:rPr>
          <w:t>3.4.2. Izmjene i dopune Javnog poziva</w:t>
        </w:r>
        <w:r>
          <w:tab/>
          <w:t>8</w:t>
        </w:r>
      </w:hyperlink>
    </w:p>
    <w:p w:rsidR="00990D73" w:rsidRDefault="00945E9F">
      <w:pPr>
        <w:pStyle w:val="Sadraj1"/>
        <w:tabs>
          <w:tab w:val="right" w:leader="dot" w:pos="9062"/>
        </w:tabs>
      </w:pPr>
      <w:hyperlink r:id="rId27" w:history="1">
        <w:r>
          <w:rPr>
            <w:rStyle w:val="Hiperveza"/>
            <w:rFonts w:ascii="Times New Roman" w:hAnsi="Times New Roman" w:cs="Times New Roman"/>
            <w:b/>
            <w:bCs/>
          </w:rPr>
          <w:t>4. POSTUPAK ODABIRA</w:t>
        </w:r>
        <w:r>
          <w:tab/>
          <w:t>8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8" w:history="1">
        <w:r>
          <w:rPr>
            <w:rStyle w:val="Hiperveza"/>
            <w:rFonts w:ascii="Times New Roman" w:hAnsi="Times New Roman" w:cs="Times New Roman"/>
          </w:rPr>
          <w:t>4.1. Zaprimanje i evidencija prijava</w:t>
        </w:r>
        <w:r>
          <w:tab/>
          <w:t>8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29" w:history="1">
        <w:r>
          <w:rPr>
            <w:rStyle w:val="Hiperveza"/>
            <w:rFonts w:ascii="Times New Roman" w:hAnsi="Times New Roman" w:cs="Times New Roman"/>
          </w:rPr>
          <w:t>4.2. Formalna provjera prijava</w:t>
        </w:r>
        <w:r>
          <w:tab/>
          <w:t>8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30" w:history="1">
        <w:r>
          <w:rPr>
            <w:rStyle w:val="Hiperveza"/>
            <w:rFonts w:ascii="Times New Roman" w:hAnsi="Times New Roman" w:cs="Times New Roman"/>
          </w:rPr>
          <w:t>4.3. Stručno kvalitativno vrednovanje i ocjena prijava</w:t>
        </w:r>
        <w:r>
          <w:tab/>
          <w:t>9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31" w:history="1">
        <w:r>
          <w:rPr>
            <w:rStyle w:val="Hiperveza"/>
            <w:rFonts w:ascii="Times New Roman" w:hAnsi="Times New Roman" w:cs="Times New Roman"/>
          </w:rPr>
          <w:t>4</w:t>
        </w:r>
        <w:r>
          <w:rPr>
            <w:rStyle w:val="Hiperveza"/>
            <w:rFonts w:ascii="Times New Roman" w:hAnsi="Times New Roman" w:cs="Times New Roman"/>
          </w:rPr>
          <w:t>.4. Odluka o odabiru</w:t>
        </w:r>
        <w:r>
          <w:tab/>
          <w:t>9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32" w:history="1">
        <w:r>
          <w:rPr>
            <w:rStyle w:val="Hiperveza"/>
            <w:rFonts w:ascii="Times New Roman" w:hAnsi="Times New Roman" w:cs="Times New Roman"/>
          </w:rPr>
          <w:t>4.5. Mogućnost podnošenja prigovora</w:t>
        </w:r>
        <w:r>
          <w:tab/>
          <w:t>10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33" w:history="1">
        <w:r>
          <w:rPr>
            <w:rStyle w:val="Hiperveza"/>
            <w:rFonts w:ascii="Times New Roman" w:hAnsi="Times New Roman" w:cs="Times New Roman"/>
          </w:rPr>
          <w:t>4.6. Naknadni uvid u ocjenu kvalitete prijavljenog programa</w:t>
        </w:r>
        <w:r>
          <w:tab/>
          <w:t>10</w:t>
        </w:r>
      </w:hyperlink>
    </w:p>
    <w:p w:rsidR="00990D73" w:rsidRDefault="00945E9F">
      <w:pPr>
        <w:pStyle w:val="Sadraj1"/>
        <w:tabs>
          <w:tab w:val="right" w:leader="dot" w:pos="9062"/>
        </w:tabs>
      </w:pPr>
      <w:hyperlink r:id="rId34" w:history="1">
        <w:r>
          <w:rPr>
            <w:rStyle w:val="Hiperveza"/>
            <w:rFonts w:ascii="Times New Roman" w:hAnsi="Times New Roman" w:cs="Times New Roman"/>
            <w:b/>
            <w:bCs/>
          </w:rPr>
          <w:t>5. NAČIN I UVJETI FINANCIRANJA ODAB</w:t>
        </w:r>
        <w:r>
          <w:rPr>
            <w:rStyle w:val="Hiperveza"/>
            <w:rFonts w:ascii="Times New Roman" w:hAnsi="Times New Roman" w:cs="Times New Roman"/>
            <w:b/>
            <w:bCs/>
          </w:rPr>
          <w:t>RANIH PROGRAMA</w:t>
        </w:r>
        <w:r>
          <w:tab/>
          <w:t>10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35" w:history="1">
        <w:r>
          <w:rPr>
            <w:rStyle w:val="Hiperveza"/>
            <w:rFonts w:ascii="Times New Roman" w:hAnsi="Times New Roman" w:cs="Times New Roman"/>
          </w:rPr>
          <w:t>5.1. Ugovor o sufinanciranju</w:t>
        </w:r>
        <w:r>
          <w:tab/>
          <w:t>11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36" w:history="1">
        <w:r>
          <w:rPr>
            <w:rStyle w:val="Hiperveza"/>
            <w:rFonts w:ascii="Times New Roman" w:hAnsi="Times New Roman" w:cs="Times New Roman"/>
          </w:rPr>
          <w:t xml:space="preserve">5.2. Modeli plaćanja </w:t>
        </w:r>
        <w:r>
          <w:tab/>
          <w:t>11</w:t>
        </w:r>
      </w:hyperlink>
    </w:p>
    <w:p w:rsidR="00990D73" w:rsidRDefault="00945E9F">
      <w:pPr>
        <w:pStyle w:val="Sadraj2"/>
        <w:tabs>
          <w:tab w:val="right" w:leader="dot" w:pos="9062"/>
        </w:tabs>
      </w:pPr>
      <w:hyperlink r:id="rId37" w:history="1">
        <w:r>
          <w:rPr>
            <w:rStyle w:val="Hiperveza"/>
            <w:rFonts w:ascii="Times New Roman" w:hAnsi="Times New Roman" w:cs="Times New Roman"/>
          </w:rPr>
          <w:t>5.3. Praćenje provedbe programa i namjenskog korištenja sredstava</w:t>
        </w:r>
        <w:r>
          <w:tab/>
          <w:t>12</w:t>
        </w:r>
      </w:hyperlink>
    </w:p>
    <w:p w:rsidR="00990D73" w:rsidRDefault="00945E9F">
      <w:r>
        <w:fldChar w:fldCharType="end"/>
      </w:r>
      <w:r>
        <w:t xml:space="preserve">    </w:t>
      </w:r>
      <w:r>
        <w:rPr>
          <w:rFonts w:ascii="Times New Roman" w:hAnsi="Times New Roman" w:cs="Times New Roman"/>
        </w:rPr>
        <w:t>5.4. Vidl</w:t>
      </w:r>
      <w:r>
        <w:rPr>
          <w:rFonts w:ascii="Times New Roman" w:hAnsi="Times New Roman" w:cs="Times New Roman"/>
        </w:rPr>
        <w:t>jivost programa i obveza isticanja vizualnog identiteta Grada…………………………….12</w:t>
      </w:r>
    </w:p>
    <w:p w:rsidR="00990D73" w:rsidRDefault="00990D73">
      <w:pPr>
        <w:pStyle w:val="Naslov1"/>
        <w:rPr>
          <w:rFonts w:ascii="Times New Roman" w:hAnsi="Times New Roman" w:cs="Times New Roman"/>
          <w:b/>
          <w:bCs/>
          <w:color w:val="000000"/>
        </w:rPr>
      </w:pPr>
      <w:bookmarkStart w:id="1" w:name="_Toc440013900"/>
    </w:p>
    <w:p w:rsidR="00990D73" w:rsidRDefault="00990D73"/>
    <w:p w:rsidR="00990D73" w:rsidRDefault="00990D73"/>
    <w:p w:rsidR="00990D73" w:rsidRDefault="00945E9F">
      <w:pPr>
        <w:pStyle w:val="Naslov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1. PREDMET JAVNOG POZIVA I OPĆE INFORMACIJE</w:t>
      </w:r>
      <w:bookmarkEnd w:id="1"/>
    </w:p>
    <w:p w:rsidR="00990D73" w:rsidRDefault="00990D7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0D73" w:rsidRDefault="00945E9F">
      <w:pPr>
        <w:pStyle w:val="Naslov2"/>
        <w:rPr>
          <w:rFonts w:ascii="Times New Roman" w:hAnsi="Times New Roman" w:cs="Times New Roman"/>
          <w:b/>
          <w:bCs/>
          <w:color w:val="000000"/>
        </w:rPr>
      </w:pPr>
      <w:bookmarkStart w:id="2" w:name="_Toc440013901"/>
      <w:r>
        <w:rPr>
          <w:rFonts w:ascii="Times New Roman" w:hAnsi="Times New Roman" w:cs="Times New Roman"/>
          <w:b/>
          <w:bCs/>
          <w:color w:val="000000"/>
        </w:rPr>
        <w:t>1.1. Zakonska osnova</w:t>
      </w:r>
      <w:bookmarkEnd w:id="2"/>
    </w:p>
    <w:p w:rsidR="00990D73" w:rsidRDefault="00945E9F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postupak Javnog poziva za dodjelu financijskih potpora programima u području izvaninstitucionalnog odgoja i </w:t>
      </w:r>
      <w:r>
        <w:rPr>
          <w:rFonts w:ascii="Times New Roman" w:hAnsi="Times New Roman" w:cs="Times New Roman"/>
          <w:color w:val="000000"/>
          <w:sz w:val="24"/>
          <w:szCs w:val="24"/>
        </w:rPr>
        <w:t>obrazovanja djece za 2019. godinu (u daljnjem tekstu: Javni poziv )  primjenjuju se odgovarajuće odredbe Zakona o odgoju i obrazovanju u osnovnoj i srednjoj školi ( „Narodne novine“ br. 87/08., 86/09., 92/10., 105/10., 90/11., 5/12., 16/12., 86/12., 126/12</w:t>
      </w:r>
      <w:r>
        <w:rPr>
          <w:rFonts w:ascii="Times New Roman" w:hAnsi="Times New Roman" w:cs="Times New Roman"/>
          <w:color w:val="000000"/>
          <w:sz w:val="24"/>
          <w:szCs w:val="24"/>
        </w:rPr>
        <w:t>., 94/13., 152/14.,07/17</w:t>
      </w:r>
      <w:r>
        <w:rPr>
          <w:rFonts w:ascii="Times New Roman" w:hAnsi="Times New Roman" w:cs="Times New Roman"/>
          <w:sz w:val="24"/>
          <w:szCs w:val="24"/>
        </w:rPr>
        <w:t>. i 68/18.), Zakona o udrugama („Narodne novine“ br. 74/14.)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Uredba o kriterijima, mjerilima i postupcima financiranja i ugovaranja programa i projekata od interesa za opće dobro koje provode udruge („Narodne novine“ br. 26/15.) i </w:t>
      </w:r>
      <w:r>
        <w:rPr>
          <w:rFonts w:ascii="Times New Roman" w:hAnsi="Times New Roman" w:cs="Times New Roman"/>
          <w:color w:val="000000"/>
          <w:sz w:val="24"/>
          <w:szCs w:val="24"/>
        </w:rPr>
        <w:t>Pravilnik o financiranju javnih potreba Grada Vinkovaca („Službeni glasnik“ Grada Vinkovaca br. 01/16. i 09/18.).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3" w:name="_Toc440013902"/>
      <w:r>
        <w:rPr>
          <w:rFonts w:ascii="Times New Roman" w:hAnsi="Times New Roman" w:cs="Times New Roman"/>
          <w:b/>
          <w:bCs/>
          <w:color w:val="000000"/>
        </w:rPr>
        <w:t xml:space="preserve">1.2. Provedba </w:t>
      </w:r>
      <w:bookmarkEnd w:id="3"/>
      <w:r>
        <w:rPr>
          <w:rFonts w:ascii="Times New Roman" w:hAnsi="Times New Roman" w:cs="Times New Roman"/>
          <w:b/>
          <w:bCs/>
          <w:color w:val="000000"/>
        </w:rPr>
        <w:t>Javnog poziva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Administrativne, organizacijske i druge poslove i aktivnosti u provedbi ovog Javnog poziva obavlja Upravni odjel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društvenih djelatnosti Grada Vinkovaca (u daljnjem tekstu: nadležni Upravni odjel).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4" w:name="_Toc440013903"/>
      <w:r>
        <w:rPr>
          <w:rFonts w:ascii="Times New Roman" w:hAnsi="Times New Roman" w:cs="Times New Roman"/>
          <w:b/>
          <w:bCs/>
          <w:color w:val="000000"/>
        </w:rPr>
        <w:t xml:space="preserve">1.3. Cilj </w:t>
      </w:r>
      <w:bookmarkEnd w:id="4"/>
      <w:r>
        <w:rPr>
          <w:rFonts w:ascii="Times New Roman" w:hAnsi="Times New Roman" w:cs="Times New Roman"/>
          <w:b/>
          <w:bCs/>
          <w:color w:val="000000"/>
        </w:rPr>
        <w:t>Javnog poziva</w:t>
      </w:r>
    </w:p>
    <w:p w:rsidR="00990D73" w:rsidRDefault="00945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Osnovni cilj ovog Javnog poziva jest provedbom predloženih programa razviti potrebe, interese i potencijale djece te im omogućiti stjecanje </w:t>
      </w:r>
      <w:r>
        <w:rPr>
          <w:rFonts w:ascii="Times New Roman" w:hAnsi="Times New Roman" w:cs="Times New Roman"/>
          <w:sz w:val="24"/>
          <w:szCs w:val="24"/>
        </w:rPr>
        <w:t>novih znanja, vještina i kompetencija što će pridonijeti poboljšanju kvalitete njihova života a time i života njihovih obitelji i okoline. Također kroz ove programe želi se pružiti pomoć djeci u savladavanju školskih odgojno – obrazovnih sadržaja.</w:t>
      </w:r>
    </w:p>
    <w:p w:rsidR="00990D73" w:rsidRDefault="00990D73">
      <w:pPr>
        <w:rPr>
          <w:rFonts w:ascii="Times New Roman" w:hAnsi="Times New Roman" w:cs="Times New Roman"/>
          <w:sz w:val="24"/>
          <w:szCs w:val="24"/>
        </w:rPr>
      </w:pPr>
    </w:p>
    <w:p w:rsidR="00990D73" w:rsidRDefault="00990D73">
      <w:pPr>
        <w:rPr>
          <w:rFonts w:ascii="Times New Roman" w:hAnsi="Times New Roman" w:cs="Times New Roman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5" w:name="_Toc440013904"/>
      <w:r>
        <w:rPr>
          <w:rFonts w:ascii="Times New Roman" w:hAnsi="Times New Roman" w:cs="Times New Roman"/>
          <w:b/>
          <w:bCs/>
          <w:color w:val="000000"/>
        </w:rPr>
        <w:t>1.4. P</w:t>
      </w:r>
      <w:r>
        <w:rPr>
          <w:rFonts w:ascii="Times New Roman" w:hAnsi="Times New Roman" w:cs="Times New Roman"/>
          <w:b/>
          <w:bCs/>
          <w:color w:val="000000"/>
        </w:rPr>
        <w:t xml:space="preserve">odručja </w:t>
      </w:r>
      <w:bookmarkEnd w:id="5"/>
      <w:r>
        <w:rPr>
          <w:rFonts w:ascii="Times New Roman" w:hAnsi="Times New Roman" w:cs="Times New Roman"/>
          <w:b/>
          <w:bCs/>
          <w:color w:val="000000"/>
        </w:rPr>
        <w:t>Javnog poziva</w:t>
      </w:r>
    </w:p>
    <w:p w:rsidR="00990D73" w:rsidRDefault="00990D73"/>
    <w:p w:rsidR="00990D73" w:rsidRDefault="00945E9F">
      <w:pPr>
        <w:pStyle w:val="Odlomakpopisa"/>
        <w:numPr>
          <w:ilvl w:val="0"/>
          <w:numId w:val="1"/>
        </w:numPr>
        <w:spacing w:after="200" w:line="276" w:lineRule="auto"/>
        <w:textAlignment w:val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Odgoj i obrazovanje osnovnoškolske  djece o potrebi očuvanja prirode i zaštite okoliša,</w:t>
      </w:r>
    </w:p>
    <w:p w:rsidR="00990D73" w:rsidRDefault="00945E9F">
      <w:pPr>
        <w:pStyle w:val="Odlomakpopisa"/>
        <w:numPr>
          <w:ilvl w:val="0"/>
          <w:numId w:val="1"/>
        </w:numPr>
        <w:spacing w:after="200" w:line="276" w:lineRule="auto"/>
        <w:textAlignment w:val="auto"/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Pomoć osnovnoškolskoj djeci pri savladavanju odgojno – obrazovnih sadržaja,</w:t>
      </w:r>
    </w:p>
    <w:p w:rsidR="00990D73" w:rsidRDefault="00945E9F">
      <w:pPr>
        <w:pStyle w:val="Odlomakpopisa"/>
        <w:numPr>
          <w:ilvl w:val="0"/>
          <w:numId w:val="1"/>
        </w:numPr>
        <w:spacing w:after="200" w:line="276" w:lineRule="auto"/>
        <w:textAlignment w:val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Odgoj i obrazovanje osnovnoškolske djece o zdravom načinu života i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održivom razvoju,</w:t>
      </w:r>
    </w:p>
    <w:p w:rsidR="00990D73" w:rsidRDefault="00945E9F">
      <w:pPr>
        <w:pStyle w:val="Odlomakpopisa"/>
        <w:numPr>
          <w:ilvl w:val="0"/>
          <w:numId w:val="1"/>
        </w:numPr>
        <w:spacing w:after="200" w:line="276" w:lineRule="auto"/>
        <w:textAlignment w:val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Prometni odgoj i prometna preventiva osnovnoškolske djece. </w:t>
      </w:r>
    </w:p>
    <w:p w:rsidR="00990D73" w:rsidRDefault="00990D7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90D73" w:rsidRDefault="00990D7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90D73" w:rsidRDefault="00990D7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90D73" w:rsidRDefault="00990D7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90D73" w:rsidRDefault="00990D7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90D73" w:rsidRDefault="00945E9F">
      <w:pPr>
        <w:pStyle w:val="Naslov1"/>
        <w:rPr>
          <w:rFonts w:ascii="Times New Roman" w:hAnsi="Times New Roman" w:cs="Times New Roman"/>
          <w:b/>
          <w:bCs/>
          <w:color w:val="000000"/>
        </w:rPr>
      </w:pPr>
      <w:bookmarkStart w:id="6" w:name="_Toc440013905"/>
      <w:r>
        <w:rPr>
          <w:rFonts w:ascii="Times New Roman" w:hAnsi="Times New Roman" w:cs="Times New Roman"/>
          <w:b/>
          <w:bCs/>
          <w:color w:val="000000"/>
        </w:rPr>
        <w:lastRenderedPageBreak/>
        <w:t>2. KRITERIJI PRIHVATLJIVOSTI</w:t>
      </w:r>
      <w:bookmarkEnd w:id="6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7" w:name="_Toc440013906"/>
      <w:r>
        <w:rPr>
          <w:rFonts w:ascii="Times New Roman" w:hAnsi="Times New Roman" w:cs="Times New Roman"/>
          <w:b/>
          <w:bCs/>
          <w:color w:val="000000"/>
        </w:rPr>
        <w:t>2.1. Prihvatljivi prijavitelji</w:t>
      </w:r>
      <w:bookmarkEnd w:id="7"/>
    </w:p>
    <w:p w:rsidR="00990D73" w:rsidRDefault="00945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projekta na Natječaj može podnijeti udruga upisana u Registar udruga i Registar neprofitnih organizacij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odnosno, zaklada, ustanova ili druga pravna osoba čija temeljna svrha nije stjecanje dobiti te je kao takva i registrirana u odgovarajućem Registru. </w:t>
      </w:r>
    </w:p>
    <w:p w:rsidR="00990D73" w:rsidRDefault="00945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moraju imati Statute usklađene sa Zakonom o udrugama.</w:t>
      </w:r>
    </w:p>
    <w:p w:rsidR="00990D73" w:rsidRDefault="00990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0D73" w:rsidRDefault="00945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 prijavitelji svojim temeljnim aktima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oraju biti opredijeljeni za obavljanje djelatnosti i aktivnosti koje su predmet financiranja  te moraju promicati ciljeve i uvjerenja koja nisu protivna Ustavu i zakonu. </w:t>
      </w:r>
    </w:p>
    <w:p w:rsidR="00990D73" w:rsidRDefault="00990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0D73" w:rsidRDefault="00945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prijavitelji moraju imati uredno ispunjene dugove i obveze prema Gradu Vinkovci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podmirene sve doprinose, plaćen porez i druga davanja prema državnom proračunu.</w:t>
      </w:r>
    </w:p>
    <w:p w:rsidR="00990D73" w:rsidRDefault="00990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0D73" w:rsidRDefault="00945E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djelomičnog financiranja programa/projekta prije zaključenja ugovora provesti će se pregovori o stavkama proračuna programa/projekta i aktivnostima u opisnom djelu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koje treba izmijeniti te će se zatražiti od udruge izrada izmijenjenog obrasca proračuna (troškovnika) koji će biti sastavni dio ugovora o financiranju kao i izmjene opisnog djela programa/projekta obzirom na dodijeljena sredstva.</w:t>
      </w:r>
    </w:p>
    <w:p w:rsidR="00990D73" w:rsidRDefault="00990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0D73" w:rsidRDefault="00945E9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 zaključen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 ugovora o dodjeli sredstava korisnik je dužan dostaviti ispunjeni obrazac Izjave o nepostojanju dvostrukog financiranja.</w:t>
      </w:r>
    </w:p>
    <w:p w:rsidR="00990D73" w:rsidRDefault="00990D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0D73" w:rsidRDefault="00945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Udruge koje provode programe/projekte u partnerstvu moraju prilikom zaključenja ugovora o dodjeli sredstava priložiti Sporazum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partnerstvu kojim reguliraju međusobne odnose.</w:t>
      </w:r>
    </w:p>
    <w:p w:rsidR="00990D73" w:rsidRDefault="00990D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0D73" w:rsidRDefault="00945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zaključenja ugovora o dodjeli sredstava korisnik će na zahtjev Upravnog odjela društvenih djelatnosti morati priložiti dokaz da se protiv odgovorne osobe u udruzi i voditelja projekta ne vodi kazneni po</w:t>
      </w:r>
      <w:r>
        <w:rPr>
          <w:rFonts w:ascii="Times New Roman" w:hAnsi="Times New Roman" w:cs="Times New Roman"/>
          <w:sz w:val="24"/>
          <w:szCs w:val="24"/>
        </w:rPr>
        <w:t>stupak te da nije pravomoćno osuđena za kaznena djela i prekršaje utvrđene Uredbom.</w:t>
      </w:r>
    </w:p>
    <w:p w:rsidR="00990D73" w:rsidRDefault="00990D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8" w:name="_Toc440013907"/>
      <w:r>
        <w:rPr>
          <w:rFonts w:ascii="Times New Roman" w:hAnsi="Times New Roman" w:cs="Times New Roman"/>
          <w:b/>
          <w:bCs/>
          <w:color w:val="000000"/>
        </w:rPr>
        <w:t>2.2. Prihvatljive aktivnosti i lokacija</w:t>
      </w:r>
      <w:bookmarkEnd w:id="8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Prihvatljivim aktivnostima smatraju se svrsishodne aktivnosti u realizaciji programa unutar utvrđenih područja Javnog poziva (točka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1.4.). Prihvatljiva lokacija je područje grada Vinkovaca.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9" w:name="_Toc440013908"/>
      <w:r>
        <w:rPr>
          <w:rFonts w:ascii="Times New Roman" w:hAnsi="Times New Roman" w:cs="Times New Roman"/>
          <w:b/>
          <w:bCs/>
          <w:color w:val="000000"/>
        </w:rPr>
        <w:t>2.3. Prihvatljivi troškovi provedbe programa</w:t>
      </w:r>
      <w:bookmarkEnd w:id="9"/>
    </w:p>
    <w:p w:rsidR="00990D73" w:rsidRDefault="00945E9F">
      <w:pPr>
        <w:pStyle w:val="Naslov2"/>
        <w:spacing w:before="0" w:after="120"/>
      </w:pPr>
      <w:r>
        <w:rPr>
          <w:rFonts w:ascii="Times New Roman" w:hAnsi="Times New Roman" w:cs="Times New Roman"/>
          <w:color w:val="auto"/>
          <w:sz w:val="24"/>
          <w:szCs w:val="24"/>
        </w:rPr>
        <w:t>Prihvatljivi troškovi su troškovi koje je imao korisnik financiranja, a koji ispunjavaju sve slijedeće kriterije:</w:t>
      </w:r>
    </w:p>
    <w:p w:rsidR="00990D73" w:rsidRDefault="00945E9F">
      <w:pPr>
        <w:spacing w:after="0"/>
        <w:ind w:left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nastali su za vrijeme razdoblja pro</w:t>
      </w:r>
      <w:r>
        <w:rPr>
          <w:rFonts w:ascii="Times New Roman" w:hAnsi="Times New Roman" w:cs="Times New Roman"/>
          <w:sz w:val="24"/>
          <w:szCs w:val="24"/>
        </w:rPr>
        <w:t>vedbe programa u skladu s ugovorom, osim troškova koji se odnose na završne izvještaje, troškova revizije i troškova vrednovanja, a plaćeni su do datuma odobravanja završnog izvještaja. Postupci javne nabave za robe, usluge ili radove mogu započeti prije p</w:t>
      </w:r>
      <w:r>
        <w:rPr>
          <w:rFonts w:ascii="Times New Roman" w:hAnsi="Times New Roman" w:cs="Times New Roman"/>
          <w:sz w:val="24"/>
          <w:szCs w:val="24"/>
        </w:rPr>
        <w:t>očetka provedbenog razdoblja, ali ugovori ne mogu biti sklopljeni prije prvog dana razdoblja provedbe ugovora;</w:t>
      </w:r>
    </w:p>
    <w:p w:rsidR="00990D73" w:rsidRDefault="00945E9F">
      <w:pPr>
        <w:spacing w:after="0"/>
        <w:ind w:left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moraju biti navedeni u ukupnom predviđenom proračunu programa,</w:t>
      </w:r>
    </w:p>
    <w:p w:rsidR="00990D73" w:rsidRDefault="00945E9F">
      <w:pPr>
        <w:spacing w:after="0"/>
        <w:ind w:left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nužni su za provođenje programa  koji je predmetom dodjele financijskih sreds</w:t>
      </w:r>
      <w:r>
        <w:rPr>
          <w:rFonts w:ascii="Times New Roman" w:hAnsi="Times New Roman" w:cs="Times New Roman"/>
          <w:sz w:val="24"/>
          <w:szCs w:val="24"/>
        </w:rPr>
        <w:t>tava,</w:t>
      </w:r>
    </w:p>
    <w:p w:rsidR="00990D73" w:rsidRDefault="00945E9F">
      <w:pPr>
        <w:spacing w:after="0"/>
        <w:ind w:left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mogu biti identificirani i provjereni i koji su računovodstveno evidentirani kod korisnika financiranja prema važećim propisima o računovodstvu neprofitnih organizacija,</w:t>
      </w:r>
    </w:p>
    <w:p w:rsidR="00990D73" w:rsidRDefault="00945E9F">
      <w:pPr>
        <w:spacing w:after="0"/>
        <w:ind w:left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trebaju biti umjereni, opravdani i usuglašeni sa zahtjevima racionalnog fina</w:t>
      </w:r>
      <w:r>
        <w:rPr>
          <w:rFonts w:ascii="Times New Roman" w:hAnsi="Times New Roman" w:cs="Times New Roman"/>
          <w:sz w:val="24"/>
          <w:szCs w:val="24"/>
        </w:rPr>
        <w:t>ncijskog upravljanja, osobito u odnosu na štedljivost i učinkovitost.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Pojedini troškovi navedeni u proračunu programa moraju se temeljiti na realnoj cijeni i/ili procjeni. Proračun programa mora biti planiran ekonomično i učinkovito, tj. navedeni troškovi </w:t>
      </w:r>
      <w:r>
        <w:rPr>
          <w:rFonts w:ascii="Times New Roman" w:hAnsi="Times New Roman" w:cs="Times New Roman"/>
          <w:color w:val="000000"/>
          <w:sz w:val="24"/>
          <w:szCs w:val="24"/>
        </w:rPr>
        <w:t>moraju biti neophodni za provedbu programa.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0" w:name="_Toc440013909"/>
      <w:r>
        <w:rPr>
          <w:rFonts w:ascii="Times New Roman" w:hAnsi="Times New Roman" w:cs="Times New Roman"/>
          <w:b/>
          <w:bCs/>
          <w:color w:val="000000"/>
        </w:rPr>
        <w:t xml:space="preserve">2.4. Pregled osnovnih vrsta troškova koji su prihvatljivi u okviru </w:t>
      </w:r>
      <w:bookmarkEnd w:id="10"/>
      <w:r>
        <w:rPr>
          <w:rFonts w:ascii="Times New Roman" w:hAnsi="Times New Roman" w:cs="Times New Roman"/>
          <w:b/>
          <w:bCs/>
          <w:color w:val="000000"/>
        </w:rPr>
        <w:t>Javnog poziva</w:t>
      </w:r>
    </w:p>
    <w:p w:rsidR="00990D73" w:rsidRDefault="00945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opravdanim troškovima iz prethodnog članka i kada je to relevantno za poštivanje propisa o javnoj nabavi,  opravdanim</w:t>
      </w:r>
      <w:r>
        <w:rPr>
          <w:rFonts w:ascii="Times New Roman" w:hAnsi="Times New Roman" w:cs="Times New Roman"/>
          <w:sz w:val="24"/>
          <w:szCs w:val="24"/>
        </w:rPr>
        <w:t xml:space="preserve"> se smatraju slijedeći izravni troškovi prijavitelja i njezinih partnera: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organizacija obrazovnih aktivnosti, okruglih stolova (pri čemu treba posebno naznačiti vrstu i cijenu svake usluge), 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materijal za aktivnosti,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grafičke usluge (grafička pripr</w:t>
      </w:r>
      <w:r>
        <w:rPr>
          <w:rFonts w:ascii="Times New Roman" w:hAnsi="Times New Roman" w:cs="Times New Roman"/>
          <w:sz w:val="24"/>
          <w:szCs w:val="24"/>
        </w:rPr>
        <w:t xml:space="preserve">ema, usluge tiskanja letaka, brošura, časopisa i sl. pri čemu treba navesti vrstu i namjenu usluge, količinu, jedinične cijene), 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usluge promidžbe (televizijske i radijske prezentacije, održavanje internetskih stranica, obavijesti u tiskovinama, promidž</w:t>
      </w:r>
      <w:r>
        <w:rPr>
          <w:rFonts w:ascii="Times New Roman" w:hAnsi="Times New Roman" w:cs="Times New Roman"/>
          <w:sz w:val="24"/>
          <w:szCs w:val="24"/>
        </w:rPr>
        <w:t>beni materijal i sl. pri čemu je potrebno navesti vrstu promidžbe, trajanje i cijenu usluge),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troškovi reprezentacije vezani uz organizaciju programskih odnosno projektnih aktivnosti (pri čemu treba navesti svrhu, učestalost i očekivani broj sudionika i</w:t>
      </w:r>
      <w:r>
        <w:rPr>
          <w:rFonts w:ascii="Times New Roman" w:hAnsi="Times New Roman" w:cs="Times New Roman"/>
          <w:sz w:val="24"/>
          <w:szCs w:val="24"/>
        </w:rPr>
        <w:t xml:space="preserve"> sl.), 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izdaci za troškove plaća i naknada voditeljima programa, izvoditeljima iz udruge i/ili vanjskim suradnicima koji sudjeluju u provedbi programa (ugovor o autorskom djelu i honorar, ugovor o djelu, ugovor o djelu redovitog studenta, ugovor o radu) 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troškovi nabavke opreme nužne za provedbu programa koja mora biti specificirana po vrsti i iznosu, 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putni troškovi (npr. dnevnice za službena putovanja), 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izdaci za prijevoz i smještaj </w:t>
      </w:r>
    </w:p>
    <w:p w:rsidR="00990D73" w:rsidRDefault="00945E9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ostali troškovi koji su izravno vezani za provedbu aktivnosti</w:t>
      </w:r>
      <w:r>
        <w:rPr>
          <w:rFonts w:ascii="Times New Roman" w:hAnsi="Times New Roman" w:cs="Times New Roman"/>
          <w:sz w:val="24"/>
          <w:szCs w:val="24"/>
        </w:rPr>
        <w:t xml:space="preserve"> programa.</w:t>
      </w:r>
    </w:p>
    <w:p w:rsidR="00990D73" w:rsidRDefault="00990D73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90D73" w:rsidRDefault="00945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izravnih, korisniku sredstava se može odobriti i pokrivanje neizravnih troškova kao što su: energija, voda, uredski materijal, sitan inventar, troškovi komunikacije (troškovi telefona, interneta i sl.), pošta i drugi indirektni troškovi ko</w:t>
      </w:r>
      <w:r>
        <w:rPr>
          <w:rFonts w:ascii="Times New Roman" w:hAnsi="Times New Roman" w:cs="Times New Roman"/>
          <w:sz w:val="24"/>
          <w:szCs w:val="24"/>
        </w:rPr>
        <w:t>ji nisu povezani s provedbom programa.</w:t>
      </w:r>
    </w:p>
    <w:p w:rsidR="00990D73" w:rsidRDefault="0099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1" w:name="_Toc440013910"/>
      <w:r>
        <w:rPr>
          <w:rFonts w:ascii="Times New Roman" w:hAnsi="Times New Roman" w:cs="Times New Roman"/>
          <w:b/>
          <w:bCs/>
          <w:color w:val="000000"/>
        </w:rPr>
        <w:t>2.5. Neprihvatljivi troškovi</w:t>
      </w:r>
      <w:bookmarkEnd w:id="11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90D73" w:rsidRDefault="00945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Neprihvatljivim troškovima programa smatraju se:</w:t>
      </w:r>
    </w:p>
    <w:p w:rsidR="00990D73" w:rsidRDefault="00945E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dugovi i stavke za pokrivanje gubitaka ili dugova;</w:t>
      </w:r>
    </w:p>
    <w:p w:rsidR="00990D73" w:rsidRDefault="00945E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dospjele kamate;</w:t>
      </w:r>
    </w:p>
    <w:p w:rsidR="00990D73" w:rsidRDefault="00945E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stavke koje se već financiraju iz javnih izvora;</w:t>
      </w:r>
    </w:p>
    <w:p w:rsidR="00990D73" w:rsidRDefault="00945E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kupovina</w:t>
      </w:r>
      <w:r>
        <w:rPr>
          <w:rFonts w:ascii="Times New Roman" w:hAnsi="Times New Roman" w:cs="Times New Roman"/>
          <w:sz w:val="24"/>
          <w:szCs w:val="24"/>
        </w:rPr>
        <w:t xml:space="preserve"> zemljišta ili građevina, osim kada je to nužno za izravno provođenje programa, kada se vlasništvo mora prenijeti na udrugu i/ili partnere najkasnije po završetku programa;</w:t>
      </w:r>
    </w:p>
    <w:p w:rsidR="00990D73" w:rsidRDefault="00945E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gubitci na tečajnim razlikama;</w:t>
      </w:r>
    </w:p>
    <w:p w:rsidR="00990D73" w:rsidRDefault="00945E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zajmovi trećim stranama;</w:t>
      </w:r>
    </w:p>
    <w:p w:rsidR="00990D73" w:rsidRDefault="00945E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troškovi </w:t>
      </w:r>
      <w:r>
        <w:rPr>
          <w:rFonts w:ascii="Times New Roman" w:hAnsi="Times New Roman" w:cs="Times New Roman"/>
          <w:sz w:val="24"/>
          <w:szCs w:val="24"/>
        </w:rPr>
        <w:t>reprezentacije, hrane i alkoholnih pića (osim u iznimnim slučajevima kada se kroz pregovaranje s nadležnim upravnim odjelom Grada dio tih troškova može priznati kao prihvatljiv trošak);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2" w:name="_Toc440013911"/>
      <w:r>
        <w:rPr>
          <w:rFonts w:ascii="Times New Roman" w:hAnsi="Times New Roman" w:cs="Times New Roman"/>
          <w:b/>
          <w:bCs/>
          <w:color w:val="000000"/>
        </w:rPr>
        <w:t>2.6. Zabrana dvostrukog financiranja</w:t>
      </w:r>
      <w:bookmarkEnd w:id="12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ovom Natječaju ne smiju se </w:t>
      </w:r>
      <w:r>
        <w:rPr>
          <w:rFonts w:ascii="Times New Roman" w:hAnsi="Times New Roman" w:cs="Times New Roman"/>
          <w:color w:val="000000"/>
          <w:sz w:val="24"/>
          <w:szCs w:val="24"/>
        </w:rPr>
        <w:t>prijavljivati programi za čiju cjelovitu provedbu su prijavitelji već dobili sredstva iz drugih javnih izvora.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Prijavitelji ne smiju potraživati sredstva iz drugih javnih izvora za troškove koji će biti financirani u okviru prijavljenog i za sufinanciranje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odabranog programa po ovom Javnom pozivu. U slučaju da se ustanovi dvostruko financiranje, prijavitelj će morati vratiti sva primljena sredstva.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3" w:name="_Toc440013912"/>
      <w:r>
        <w:rPr>
          <w:rFonts w:ascii="Times New Roman" w:hAnsi="Times New Roman" w:cs="Times New Roman"/>
          <w:b/>
          <w:bCs/>
          <w:color w:val="000000"/>
        </w:rPr>
        <w:t>2.7. Datum objave Javnog poziva i rok za podnošenje prijava</w:t>
      </w:r>
      <w:bookmarkEnd w:id="13"/>
    </w:p>
    <w:p w:rsidR="00990D73" w:rsidRDefault="00945E9F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>Javni poziv Grada Vinkovaca za dodjelu financijs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kih potpora programima u području izvaninstitucionalnog odgoja i obrazovanja djece za 2019. godinu objavljen je dana 18. siječnja 2019. na web stranicama Grada Vinkovaca </w:t>
      </w:r>
      <w:hyperlink r:id="rId3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https://grad-vinkovci.hr/hr</w:t>
        </w:r>
      </w:hyperlink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za </w:t>
      </w:r>
      <w:r>
        <w:rPr>
          <w:rFonts w:ascii="Times New Roman" w:hAnsi="Times New Roman" w:cs="Times New Roman"/>
          <w:color w:val="000000"/>
          <w:sz w:val="24"/>
          <w:szCs w:val="24"/>
        </w:rPr>
        <w:t>podnošenje prijava je 18. veljače 2019.g. (30 dana od dana objave natječaja).</w:t>
      </w:r>
      <w:bookmarkStart w:id="14" w:name="_Toc440013913"/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1"/>
        <w:spacing w:before="0" w:after="1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POSTUPAK PRIJAVE</w:t>
      </w:r>
      <w:bookmarkEnd w:id="14"/>
    </w:p>
    <w:p w:rsidR="00990D73" w:rsidRDefault="00945E9F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Sve prijave moraju biti pisane hrvatskim jezikom i u potpunosti ispunjene na računalu na obrascima preuzetim s internetske stranice </w:t>
      </w:r>
      <w:hyperlink r:id="rId3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https://grad-vinkovci.hr/hr</w:t>
        </w:r>
      </w:hyperlink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5" w:name="_Toc440013914"/>
      <w:r>
        <w:rPr>
          <w:rFonts w:ascii="Times New Roman" w:hAnsi="Times New Roman" w:cs="Times New Roman"/>
          <w:b/>
          <w:bCs/>
          <w:color w:val="000000"/>
        </w:rPr>
        <w:t>3.1. Popis obvezne dokumentacij</w:t>
      </w:r>
      <w:bookmarkEnd w:id="15"/>
      <w:r>
        <w:rPr>
          <w:rFonts w:ascii="Times New Roman" w:hAnsi="Times New Roman" w:cs="Times New Roman"/>
          <w:b/>
          <w:bCs/>
          <w:color w:val="000000"/>
        </w:rPr>
        <w:t>e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 prijavu na Natječaj potrebno je dostaviti:</w:t>
      </w:r>
    </w:p>
    <w:p w:rsidR="00990D73" w:rsidRDefault="00945E9F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Ispunjen obrazac opisa programa/projekta* </w:t>
      </w:r>
    </w:p>
    <w:p w:rsidR="00990D73" w:rsidRDefault="00945E9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Ispunjen obrazac proračuna programa/projekta* </w:t>
      </w:r>
    </w:p>
    <w:p w:rsidR="00990D73" w:rsidRDefault="00945E9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Potpisan obrazac Izjave da se proti</w:t>
      </w:r>
      <w:r>
        <w:rPr>
          <w:rFonts w:ascii="Times New Roman" w:eastAsia="Times New Roman" w:hAnsi="Times New Roman" w:cs="Times New Roman"/>
          <w:sz w:val="24"/>
          <w:szCs w:val="24"/>
        </w:rPr>
        <w:t>v korisnika financiranja, odnosno osobe ovlaštene za zastupanje udruge i voditelja programa/projekta ne vodi  kazneni postupak i nije pravomoćno osuđen</w:t>
      </w:r>
    </w:p>
    <w:p w:rsidR="00990D73" w:rsidRDefault="00945E9F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Potvrde o nepostojanju dugova i obveza prema Gradu Vinkovci i državnom proračunu:</w:t>
      </w:r>
    </w:p>
    <w:p w:rsidR="00990D73" w:rsidRDefault="00945E9F">
      <w:pPr>
        <w:numPr>
          <w:ilvl w:val="1"/>
          <w:numId w:val="2"/>
        </w:numPr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Potvrda Upravnog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odjela za proračun i financije Grada Vinkovaca (ne starije od  30 dana od dana raspisivanja Natječaja)</w:t>
      </w:r>
    </w:p>
    <w:p w:rsidR="00990D73" w:rsidRDefault="00945E9F">
      <w:pPr>
        <w:numPr>
          <w:ilvl w:val="1"/>
          <w:numId w:val="2"/>
        </w:numPr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Potvrda Upravnog odjela komunalnog gospodarstva i uređenja Grada Vinkovaca (ne starije od 30 dana od dana raspisivanja Natječaja)</w:t>
      </w:r>
    </w:p>
    <w:p w:rsidR="00990D73" w:rsidRDefault="00945E9F">
      <w:pPr>
        <w:numPr>
          <w:ilvl w:val="1"/>
          <w:numId w:val="2"/>
        </w:numPr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Potvrda nadležne ispost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ave Porezne uprave o nepostojanju duga prema državnom proračunu po osnovi javnih davanja (ne starije od 30 dana od dana raspisivanja Natječaja) </w:t>
      </w:r>
    </w:p>
    <w:p w:rsidR="00990D73" w:rsidRDefault="00945E9F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Potpisan obrazac Izjave o pristanku na obradu podataka</w:t>
      </w:r>
    </w:p>
    <w:p w:rsidR="00990D73" w:rsidRDefault="00945E9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Potpisan obrazac Izjave o partnerstvu, ako je </w:t>
      </w:r>
      <w:r>
        <w:rPr>
          <w:rFonts w:ascii="Times New Roman" w:eastAsia="Times New Roman" w:hAnsi="Times New Roman" w:cs="Times New Roman"/>
          <w:sz w:val="24"/>
          <w:szCs w:val="24"/>
        </w:rPr>
        <w:t>primjenjivo*</w:t>
      </w:r>
    </w:p>
    <w:p w:rsidR="00990D73" w:rsidRDefault="00945E9F">
      <w:pPr>
        <w:numPr>
          <w:ilvl w:val="0"/>
          <w:numId w:val="2"/>
        </w:numPr>
        <w:spacing w:after="0"/>
        <w:ind w:left="714" w:hanging="357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Korisnici sredstava u 2018. godini  dužni su dostaviti i izvješće o realizaciji programa i utrošenih sredstava u 2018. godini najkasnije do 30. siječnja 2019. godine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*Za svaki projekt/program potrebno je ispuniti zasebni obrazac.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Prijava mora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biti potpisana od strane osobe koja je po zakonu ovlaštena za zastupanje organizacije prijavitelja te ovjerena pečatom organizacije prijavitelja.</w:t>
      </w:r>
    </w:p>
    <w:p w:rsidR="00990D73" w:rsidRDefault="00945E9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koje provode programe/projekte u partnerstvu moraju priložiti Sporazum o partnerstvu.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/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6" w:name="_Toc440013915"/>
      <w:r>
        <w:rPr>
          <w:rFonts w:ascii="Times New Roman" w:hAnsi="Times New Roman" w:cs="Times New Roman"/>
          <w:b/>
          <w:bCs/>
          <w:color w:val="000000"/>
        </w:rPr>
        <w:t>3.2. Neobvezna</w:t>
      </w:r>
      <w:r>
        <w:rPr>
          <w:rFonts w:ascii="Times New Roman" w:hAnsi="Times New Roman" w:cs="Times New Roman"/>
          <w:b/>
          <w:bCs/>
          <w:color w:val="000000"/>
        </w:rPr>
        <w:t xml:space="preserve"> popratna dokumentacija</w:t>
      </w:r>
      <w:bookmarkEnd w:id="16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Prijavitelji uz prijavu programa mogu priložiti i ostalu dokumentaciju koju smatraju relevantnom za obrazloženje i vrednovanje predloženog programa.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7" w:name="_Toc440013916"/>
      <w:r>
        <w:rPr>
          <w:rFonts w:ascii="Times New Roman" w:hAnsi="Times New Roman" w:cs="Times New Roman"/>
          <w:b/>
          <w:bCs/>
          <w:color w:val="000000"/>
        </w:rPr>
        <w:t>3.3. Rokovi i način predaje prijava</w:t>
      </w:r>
      <w:bookmarkEnd w:id="17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za podnošenje prijava je 30 dana od dana </w:t>
      </w:r>
      <w:r>
        <w:rPr>
          <w:rFonts w:ascii="Times New Roman" w:hAnsi="Times New Roman" w:cs="Times New Roman"/>
          <w:color w:val="000000"/>
          <w:sz w:val="24"/>
          <w:szCs w:val="24"/>
        </w:rPr>
        <w:t>objave natječaja. ( 18. veljače 2019.g.).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se mogu dostaviti poštom ili osobno.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Poštom se prijave dostavljaju na adresu: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 VINKOVCI</w:t>
      </w:r>
    </w:p>
    <w:p w:rsidR="00990D73" w:rsidRDefault="00945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DRUŠTVENIH DJELATNOSTI</w:t>
      </w:r>
    </w:p>
    <w:p w:rsidR="00990D73" w:rsidRDefault="00945E9F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Odsjek 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predškolski odgoj, osnovno i srednje školstvo i visoko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obrazovanje</w:t>
      </w:r>
    </w:p>
    <w:p w:rsidR="00990D73" w:rsidRDefault="00945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BANA J. JELAČIĆA 1</w:t>
      </w:r>
    </w:p>
    <w:p w:rsidR="00990D73" w:rsidRDefault="00945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32 100 VINKOVCI</w:t>
      </w:r>
    </w:p>
    <w:p w:rsidR="00990D73" w:rsidRDefault="00990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0D73" w:rsidRDefault="00945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naznaku</w:t>
      </w:r>
    </w:p>
    <w:p w:rsidR="00990D73" w:rsidRDefault="00945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„ZA JAVNI POZIV U PODRUČJU IZVANINSTITUCIONALNOG ODGOJA I OBRAZOVANJA “</w:t>
      </w:r>
    </w:p>
    <w:p w:rsidR="00990D73" w:rsidRDefault="00990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0D73" w:rsidRDefault="00990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Osobno se prijave dostavljaju u pisarnicu Grada Vinkovaca, Bana J. Jelačića 1.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Prijavu je potrebno poslati ili dostaviti </w:t>
      </w:r>
      <w:r>
        <w:rPr>
          <w:rFonts w:ascii="Times New Roman" w:hAnsi="Times New Roman" w:cs="Times New Roman"/>
          <w:color w:val="000000"/>
          <w:sz w:val="24"/>
          <w:szCs w:val="24"/>
        </w:rPr>
        <w:t>u zatvorenoj omotnici.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vanjskoj strani omotnice obvezno treba navesti naziv i adresu prijavitelja.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dostavljene na neki drugi način, dostavljene na drugu adresu ili nakon naznačenog roka za dostavu bit će odbačene.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Predaja prijave znači da se pri</w:t>
      </w:r>
      <w:r>
        <w:rPr>
          <w:rFonts w:ascii="Times New Roman" w:hAnsi="Times New Roman" w:cs="Times New Roman"/>
          <w:color w:val="000000"/>
          <w:sz w:val="24"/>
          <w:szCs w:val="24"/>
        </w:rPr>
        <w:t>javitelj slaže s uvjetima poziva i kriterijima za ocjenjivanje.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8" w:name="_Toc440013917"/>
      <w:r>
        <w:rPr>
          <w:rFonts w:ascii="Times New Roman" w:hAnsi="Times New Roman" w:cs="Times New Roman"/>
          <w:b/>
          <w:bCs/>
          <w:color w:val="000000"/>
        </w:rPr>
        <w:t>3.4. Dodatne informacije</w:t>
      </w:r>
      <w:bookmarkEnd w:id="18"/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19" w:name="_Toc440013918"/>
      <w:r>
        <w:rPr>
          <w:rFonts w:ascii="Times New Roman" w:hAnsi="Times New Roman" w:cs="Times New Roman"/>
          <w:b/>
          <w:bCs/>
          <w:color w:val="000000"/>
        </w:rPr>
        <w:t>3.4.1. Pitanja i odgovori</w:t>
      </w:r>
      <w:bookmarkEnd w:id="19"/>
    </w:p>
    <w:p w:rsidR="00990D73" w:rsidRDefault="00945E9F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Dodatne informacije i upute za podnošenje prijava po ovom Javnom pozivu mogu se zatražiti isključivo elektronskom poštom najkasnije 5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prije isteka roka za dostavu prijava na adresi: </w:t>
      </w:r>
      <w:hyperlink r:id="rId4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drustvene@vinkovci.hr</w:t>
        </w:r>
      </w:hyperlink>
    </w:p>
    <w:p w:rsidR="00990D73" w:rsidRDefault="00945E9F">
      <w:pPr>
        <w:spacing w:after="0"/>
      </w:pPr>
      <w:r>
        <w:rPr>
          <w:rStyle w:val="Hiperveza"/>
          <w:rFonts w:ascii="Times New Roman" w:hAnsi="Times New Roman" w:cs="Times New Roman"/>
          <w:color w:val="000000"/>
          <w:sz w:val="24"/>
          <w:szCs w:val="24"/>
          <w:u w:val="none"/>
        </w:rPr>
        <w:t>Svi upiti  kao i odgovori bit će objavljeni na stranicama Grada.</w:t>
      </w:r>
    </w:p>
    <w:p w:rsidR="00990D73" w:rsidRDefault="00990D73">
      <w:pPr>
        <w:spacing w:after="0"/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0" w:name="_Toc440013919"/>
      <w:r>
        <w:rPr>
          <w:rFonts w:ascii="Times New Roman" w:hAnsi="Times New Roman" w:cs="Times New Roman"/>
          <w:b/>
          <w:bCs/>
          <w:color w:val="000000"/>
        </w:rPr>
        <w:t xml:space="preserve">3.4.2. Izmjene i dopune </w:t>
      </w:r>
      <w:bookmarkEnd w:id="20"/>
      <w:r>
        <w:rPr>
          <w:rFonts w:ascii="Times New Roman" w:hAnsi="Times New Roman" w:cs="Times New Roman"/>
          <w:b/>
          <w:bCs/>
          <w:color w:val="000000"/>
        </w:rPr>
        <w:t>Javnog poziva</w:t>
      </w:r>
    </w:p>
    <w:p w:rsidR="00990D73" w:rsidRDefault="00945E9F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slučaju da se Javni poziv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dokumentacija izmijene ili dopune prije krajnjeg roka za predaju prijava, sve izmjene i dopune bit će objavljene na web stranici </w:t>
      </w:r>
      <w:hyperlink r:id="rId41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https://grad-vinkovci.hr/hr</w:t>
        </w:r>
      </w:hyperlink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najkasnije 7 dana prije isteka roka za dostavu prijava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slučaju donošenja izmjena ili dopuna prijaviteljima koji su već predali prijavu po Javnom pozivu bit će dana mogućnost da svoju prijavu po potrebi i u primjerenom roku dopune i/ili izmijene.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Prijavitelji su dužni poštovati sve izmjene ili dopune Javnog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poziva.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1"/>
        <w:spacing w:before="0"/>
        <w:rPr>
          <w:rFonts w:ascii="Times New Roman" w:hAnsi="Times New Roman" w:cs="Times New Roman"/>
          <w:b/>
          <w:bCs/>
          <w:color w:val="000000"/>
        </w:rPr>
      </w:pPr>
      <w:bookmarkStart w:id="21" w:name="_Toc440013920"/>
      <w:r>
        <w:rPr>
          <w:rFonts w:ascii="Times New Roman" w:hAnsi="Times New Roman" w:cs="Times New Roman"/>
          <w:b/>
          <w:bCs/>
          <w:color w:val="000000"/>
        </w:rPr>
        <w:t>4. POSTUPAK ODABIRA</w:t>
      </w:r>
      <w:bookmarkEnd w:id="21"/>
    </w:p>
    <w:p w:rsidR="00990D73" w:rsidRDefault="00990D73"/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Postupak odabira prijava provodi se u sljedećim fazama:</w:t>
      </w:r>
    </w:p>
    <w:p w:rsidR="00990D73" w:rsidRDefault="00945E9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Zaprimanje i evidencija prijava </w:t>
      </w:r>
    </w:p>
    <w:p w:rsidR="00990D73" w:rsidRDefault="00945E9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Formalna provjera prijava </w:t>
      </w:r>
    </w:p>
    <w:p w:rsidR="00990D73" w:rsidRDefault="00945E9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Stručno kvalitativno vrednovanje i ocjena prijava </w:t>
      </w:r>
    </w:p>
    <w:p w:rsidR="00990D73" w:rsidRDefault="00945E9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Odluka o odabiru 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2" w:name="_Toc440013921"/>
      <w:r>
        <w:rPr>
          <w:rFonts w:ascii="Times New Roman" w:hAnsi="Times New Roman" w:cs="Times New Roman"/>
          <w:b/>
          <w:bCs/>
          <w:color w:val="000000"/>
        </w:rPr>
        <w:t>4.1. Zaprimanje i evidencija prijava</w:t>
      </w:r>
      <w:bookmarkEnd w:id="22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zaprima i evidentira Upravni odjel društvenih djelatnosti.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Svakoj prijavi dodjeljuje se evidencijski broj.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3" w:name="_Toc440013922"/>
      <w:r>
        <w:rPr>
          <w:rFonts w:ascii="Times New Roman" w:hAnsi="Times New Roman" w:cs="Times New Roman"/>
          <w:b/>
          <w:bCs/>
          <w:color w:val="000000"/>
        </w:rPr>
        <w:t>4.2. Formalna provjera prijava</w:t>
      </w:r>
      <w:bookmarkEnd w:id="23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Formalnu provjeru prijava provodi Upravni odjel društvenih djelatnosti.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Formalna provjera sastoji se od admi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nistrativne provjere i provjere prihvatljivosti. 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Tijekom administrativne provjere utvrđuje se je li: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prijava podnesena u roku 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prijava podnesena na odgovarajućem obrascu prijavnice 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prijavi priložena sva obvezna popratna dokumentacija 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prijava potpisana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 strane odgovorne osobe te ovjerena žigom organizacije prijavitelja 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prijava pisana hrvatskim jezikom i popunjena na računalu 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prijava sadrži sve podatke tražene u osnovnim dijelovima prijavnice,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 li prijavitelj podnio izvješće o utrošku sredstava u ro</w:t>
      </w:r>
      <w:r>
        <w:rPr>
          <w:rFonts w:ascii="Times New Roman" w:hAnsi="Times New Roman" w:cs="Times New Roman"/>
          <w:color w:val="000000"/>
          <w:sz w:val="24"/>
          <w:szCs w:val="24"/>
        </w:rPr>
        <w:t>ku ukoliko su mu sredstva odobrena u prošloj godini.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Tijekom provjere prihvatljivosti utvrđuje se: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prihvatljivost prijavitelja sukladno odredbama iz točke 2.1. </w:t>
      </w:r>
    </w:p>
    <w:p w:rsidR="00990D73" w:rsidRDefault="00945E9F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odnosi li se predloženi program/projekt na jedno od područja za koje je Natječaj raspisan 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rijava udovoljava provjeri formalnih uvjeta ukoliko su odgovori na sva pitanja administrativne provjere i provjere prihvatljivosti "DA".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Ukoliko je odgovor na jedno od pitanja administrativne provjere i provjere prihvatljivosti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"NE", smatrat će se da prija</w:t>
      </w:r>
      <w:r>
        <w:rPr>
          <w:rFonts w:ascii="Times New Roman" w:hAnsi="Times New Roman" w:cs="Times New Roman"/>
          <w:color w:val="000000"/>
          <w:sz w:val="24"/>
          <w:szCs w:val="24"/>
        </w:rPr>
        <w:t>va ne udovoljava formalnim uvjetima Javnog poziva.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daljnji postupak stručnog vrednovanja i ocjene prijava upućuju se samo prijave koje udovoljavaju formalnim uvjetima Javnog poziva.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prijave koje ne udovoljavaju uvjetima formalne provjere nadležni Upr</w:t>
      </w:r>
      <w:r>
        <w:rPr>
          <w:rFonts w:ascii="Times New Roman" w:hAnsi="Times New Roman" w:cs="Times New Roman"/>
          <w:color w:val="000000"/>
          <w:sz w:val="24"/>
          <w:szCs w:val="24"/>
        </w:rPr>
        <w:t>avni odjel od prijavitelja može pisanim putem zahtijevati dodatna pojašnjenja ili dopunu dokumentacije u zadanom roku. U slučaju da prijavitelj tražene podatke i/ili dokumentaciju ne dostavi u zadanom roku, prijava će se isključiti iz daljnje procedure zbo</w:t>
      </w:r>
      <w:r>
        <w:rPr>
          <w:rFonts w:ascii="Times New Roman" w:hAnsi="Times New Roman" w:cs="Times New Roman"/>
          <w:color w:val="000000"/>
          <w:sz w:val="24"/>
          <w:szCs w:val="24"/>
        </w:rPr>
        <w:t>g neispunjavanja formalnih uvjeta Javnog poziva.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završetku formalne provjere prijava nadležni Upravni odjel pisanim putem će obavijestiti neuspješne prijavitelje o razlozima zbog kojih njihove prijave ne udovoljavaju uvjetima formalne provjere.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4" w:name="_Toc440013923"/>
      <w:r>
        <w:rPr>
          <w:rFonts w:ascii="Times New Roman" w:hAnsi="Times New Roman" w:cs="Times New Roman"/>
          <w:b/>
          <w:bCs/>
          <w:color w:val="000000"/>
        </w:rPr>
        <w:t xml:space="preserve">4.3. </w:t>
      </w:r>
      <w:r>
        <w:rPr>
          <w:rFonts w:ascii="Times New Roman" w:hAnsi="Times New Roman" w:cs="Times New Roman"/>
          <w:b/>
          <w:bCs/>
          <w:color w:val="000000"/>
        </w:rPr>
        <w:t>Stručno kvalitativno vrednovanje i ocjena prijava</w:t>
      </w:r>
      <w:bookmarkEnd w:id="24"/>
    </w:p>
    <w:p w:rsidR="00990D73" w:rsidRDefault="00945E9F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Stručno kvalitativno vrednovanje i ocjenu prijava podnesenih po Javnom pozivu  provodi </w:t>
      </w:r>
      <w:r>
        <w:rPr>
          <w:rFonts w:ascii="Times New Roman" w:hAnsi="Times New Roman" w:cs="Times New Roman"/>
          <w:sz w:val="24"/>
          <w:szCs w:val="24"/>
        </w:rPr>
        <w:t>Povjerenstvo  za procjenu zaprimljenih programskih prijava</w:t>
      </w:r>
      <w:r>
        <w:rPr>
          <w:rFonts w:ascii="Times New Roman" w:hAnsi="Times New Roman" w:cs="Times New Roman"/>
          <w:color w:val="000000"/>
          <w:sz w:val="24"/>
          <w:szCs w:val="24"/>
        </w:rPr>
        <w:t>. Vrednovanje i ocjena prijava provodi se isključivo na temel</w:t>
      </w:r>
      <w:r>
        <w:rPr>
          <w:rFonts w:ascii="Times New Roman" w:hAnsi="Times New Roman" w:cs="Times New Roman"/>
          <w:color w:val="000000"/>
          <w:sz w:val="24"/>
          <w:szCs w:val="24"/>
        </w:rPr>
        <w:t>ju programskih i financijskih podataka iznesenih u obrascu prijavnice te na temelju podataka iz popratne dokumentacije.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Stručno kvalitativno vrednovanje i ocjenu prijava Povjerenstvo provodi sukladno Kriterijima za vrednovanje pristiglih prijedloga: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</w:tblGrid>
      <w:tr w:rsidR="00990D73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7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D73" w:rsidRDefault="00945E9F">
            <w:pPr>
              <w:pStyle w:val="Odlomakpopisa"/>
              <w:numPr>
                <w:ilvl w:val="0"/>
                <w:numId w:val="6"/>
              </w:numPr>
              <w:autoSpaceDE w:val="0"/>
              <w:spacing w:after="0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  <w:t>Kvaliteta ponuđenoga programa/projekta</w:t>
            </w:r>
          </w:p>
        </w:tc>
      </w:tr>
      <w:tr w:rsidR="00990D73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D73" w:rsidRDefault="00945E9F">
            <w:pPr>
              <w:pStyle w:val="Odlomakpopisa"/>
              <w:numPr>
                <w:ilvl w:val="0"/>
                <w:numId w:val="6"/>
              </w:numPr>
              <w:autoSpaceDE w:val="0"/>
              <w:spacing w:after="0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  <w:t>Važnost programa/projekta za lokalnu zajednicu</w:t>
            </w:r>
          </w:p>
        </w:tc>
      </w:tr>
      <w:tr w:rsidR="00990D73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7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D73" w:rsidRDefault="00945E9F">
            <w:pPr>
              <w:pStyle w:val="Odlomakpopisa"/>
              <w:numPr>
                <w:ilvl w:val="0"/>
                <w:numId w:val="6"/>
              </w:numPr>
              <w:autoSpaceDE w:val="0"/>
              <w:spacing w:after="0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  <w:t>Stručnost i profesionalno iskustvo nositelja programa/projekta</w:t>
            </w:r>
          </w:p>
        </w:tc>
      </w:tr>
      <w:tr w:rsidR="00990D73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7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D73" w:rsidRDefault="00945E9F">
            <w:pPr>
              <w:pStyle w:val="Odlomakpopisa"/>
              <w:numPr>
                <w:ilvl w:val="0"/>
                <w:numId w:val="6"/>
              </w:numPr>
              <w:autoSpaceDE w:val="0"/>
              <w:spacing w:after="0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  <w:t>Usklađenost troškova programa/projekta s planiranim aktivnostima</w:t>
            </w:r>
          </w:p>
        </w:tc>
      </w:tr>
      <w:tr w:rsidR="00990D73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7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D73" w:rsidRDefault="00945E9F">
            <w:pPr>
              <w:pStyle w:val="Odlomakpopisa"/>
              <w:numPr>
                <w:ilvl w:val="0"/>
                <w:numId w:val="6"/>
              </w:numPr>
              <w:autoSpaceDE w:val="0"/>
              <w:spacing w:after="0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  <w:t>Financijska potpora iz drugih izvora</w:t>
            </w:r>
          </w:p>
        </w:tc>
      </w:tr>
      <w:tr w:rsidR="00990D73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7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D73" w:rsidRDefault="00945E9F">
            <w:pPr>
              <w:pStyle w:val="Odlomakpopisa"/>
              <w:numPr>
                <w:ilvl w:val="0"/>
                <w:numId w:val="6"/>
              </w:numPr>
              <w:autoSpaceDE w:val="0"/>
              <w:spacing w:after="0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 w:bidi="ta-IN"/>
              </w:rPr>
              <w:t>Suradnja s drugim udrugama, ustanovama, fizičkim i pravnim osobama pri provođenju programa/projekta</w:t>
            </w:r>
          </w:p>
        </w:tc>
      </w:tr>
    </w:tbl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temelju prijedloga Povjerenstva konačnu odluku o odabiru programa za sufinanciranje donosi Gradonačelnik.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5" w:name="_Toc440013924"/>
      <w:r>
        <w:rPr>
          <w:rFonts w:ascii="Times New Roman" w:hAnsi="Times New Roman" w:cs="Times New Roman"/>
          <w:b/>
          <w:bCs/>
          <w:color w:val="000000"/>
        </w:rPr>
        <w:t>4.4. Odluka o odabiru</w:t>
      </w:r>
      <w:bookmarkEnd w:id="25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Nakon provedenog post</w:t>
      </w:r>
      <w:r>
        <w:rPr>
          <w:rFonts w:ascii="Times New Roman" w:hAnsi="Times New Roman" w:cs="Times New Roman"/>
          <w:color w:val="000000"/>
          <w:sz w:val="24"/>
          <w:szCs w:val="24"/>
        </w:rPr>
        <w:t>upka stručnog kvalitativnog vrednovanja i ocjene prijava Povjerenstvo Zaključkom utvrđuje popis programa  čije se sufinanciranje predlaže s prijedlozima iznosa financijske potpore.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temelju prijedloga Povjerenstva konačnu odluku o odabiru programa za suf</w:t>
      </w:r>
      <w:r>
        <w:rPr>
          <w:rFonts w:ascii="Times New Roman" w:hAnsi="Times New Roman" w:cs="Times New Roman"/>
          <w:color w:val="000000"/>
          <w:sz w:val="24"/>
          <w:szCs w:val="24"/>
        </w:rPr>
        <w:t>inanciranje donosi Gradonačelnik. Odluka o odabiru objavljuje se na web stranicama Grada Vinkovaca.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Odlukom o odabiru utvrđuje se popis prihvaćenih programa za sufinanciranje s iznosima financijske potpore.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popis programa prihvaćenih za sufinanciranje </w:t>
      </w:r>
      <w:r>
        <w:rPr>
          <w:rFonts w:ascii="Times New Roman" w:hAnsi="Times New Roman" w:cs="Times New Roman"/>
          <w:color w:val="000000"/>
          <w:sz w:val="24"/>
          <w:szCs w:val="24"/>
        </w:rPr>
        <w:t>uvrstit će se programi koji su udovoljili uvjetima formalne provjere, tijekom stručnog vrednovanja ostvarili dostatan broj bodova, a za čije financiranje postoje raspoloživa sredstva u proračunu Grada.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6" w:name="_Toc440013925"/>
      <w:r>
        <w:rPr>
          <w:rFonts w:ascii="Times New Roman" w:hAnsi="Times New Roman" w:cs="Times New Roman"/>
          <w:b/>
          <w:bCs/>
          <w:color w:val="000000"/>
        </w:rPr>
        <w:t>4.5. Mogućnost podnošenja prigovora</w:t>
      </w:r>
      <w:bookmarkEnd w:id="26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Prijavitelji čij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programi nisu zadovoljili uvjete formalne provjere te prijavitelji čiji programi nisu odabrani za financiranje mogu u roku 8 dana od dana primitka pisane obavijesti o tome, podnijeti prigovor. 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Prigovor se može podnijeti samo zbog povrede postupka odobra</w:t>
      </w:r>
      <w:r>
        <w:rPr>
          <w:rFonts w:ascii="Times New Roman" w:hAnsi="Times New Roman" w:cs="Times New Roman"/>
          <w:color w:val="000000"/>
          <w:sz w:val="24"/>
          <w:szCs w:val="24"/>
        </w:rPr>
        <w:t>vanja financijskih sredstava. Prigovor se ne može podnijeti na odluku o neodobravanju sredstava ili visinu dodijeljenih sredstava.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Prigovor može podnijeti isključivo zakonski predstavnik organizacije prijavitelja.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Prigovor mora sadržavati sljedeće podatke: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naziv prijavitelja podnositelja prigovora, naznaku akta protiv kojeg se podnosi prigovor, predmet prigovora, obrazloženje prigovora, žig i potpis osobe ovlaštene za zastupanje organizacije prijavitelja.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Prigovor koji je podnijela neovlaštena osoba, koji n</w:t>
      </w:r>
      <w:r>
        <w:rPr>
          <w:rFonts w:ascii="Times New Roman" w:hAnsi="Times New Roman" w:cs="Times New Roman"/>
          <w:color w:val="000000"/>
          <w:sz w:val="24"/>
          <w:szCs w:val="24"/>
        </w:rPr>
        <w:t>e sadržava sve navedene podatke ili je dostavljen izvan propisanog roka bit će odbačen.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Odluku o prigovoru zbog neispunjenja formalnih uvjeta donosi pročelnik nadležnog upravnog odjela u roku od tri dana od dana primitka prigovora. U slučaju prihvaćanja pr</w:t>
      </w:r>
      <w:r>
        <w:rPr>
          <w:rFonts w:ascii="Times New Roman" w:hAnsi="Times New Roman" w:cs="Times New Roman"/>
          <w:color w:val="000000"/>
          <w:sz w:val="24"/>
          <w:szCs w:val="24"/>
        </w:rPr>
        <w:t>ijava će biti upućena u daljnju proceduru, a u slučaju neprihvaćanja prijava će biti odbijena.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Rješavanje o podnesenim prigovorima zbog nezadovoljstva odlukom o dodjeli financijskih sredstava provodi Povjerenstvo koje imenuje Gradonačelnik.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Povjerenstvo do</w:t>
      </w:r>
      <w:r>
        <w:rPr>
          <w:rFonts w:ascii="Times New Roman" w:hAnsi="Times New Roman" w:cs="Times New Roman"/>
          <w:color w:val="000000"/>
          <w:sz w:val="24"/>
          <w:szCs w:val="24"/>
        </w:rPr>
        <w:t>nosi odluku o prigovoru u roku od 8 radnih dana od dana primitka prigovora.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Postupak odlučivanja o prigovorima ne odgađa izvršenje Odluke o odabiru, niti daljnju provedbu natječajnog postupka.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7" w:name="_Toc440013926"/>
      <w:r>
        <w:rPr>
          <w:rFonts w:ascii="Times New Roman" w:hAnsi="Times New Roman" w:cs="Times New Roman"/>
          <w:b/>
          <w:bCs/>
          <w:color w:val="000000"/>
        </w:rPr>
        <w:t>4.6. Naknadni uvid u ocjenu kvalitete prijavljenog programa</w:t>
      </w:r>
      <w:bookmarkEnd w:id="27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rijaviteljima čiji programi nisu odabrani za financiranje može se na njihov zahtjev omogućiti uvid u ocjenu programa uz pravo Grada da zaštiti tajnost podataka o osobama koje su ocjenjivale program.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Zahtjev za naknadnim uvidom dostavlja se pisanim putem u </w:t>
      </w:r>
      <w:r>
        <w:rPr>
          <w:rFonts w:ascii="Times New Roman" w:hAnsi="Times New Roman" w:cs="Times New Roman"/>
          <w:color w:val="000000"/>
          <w:sz w:val="24"/>
          <w:szCs w:val="24"/>
        </w:rPr>
        <w:t>roku od 8 dana od dana primitka pisane obavijesti o rezultatima Javnog poziva 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može podnijeti isključivo zakonski predstavnik organizacije prijavitelja.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mora sadržavati sljedeće podatke: naziv prijavitelja, naziv prijavljenog programa za k</w:t>
      </w:r>
      <w:r>
        <w:rPr>
          <w:rFonts w:ascii="Times New Roman" w:hAnsi="Times New Roman" w:cs="Times New Roman"/>
          <w:color w:val="000000"/>
          <w:sz w:val="24"/>
          <w:szCs w:val="24"/>
        </w:rPr>
        <w:t>oji se traži uvid, žig i potpis osobe ovlaštene za zastupanje organizacije prijavitelja.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za naknadnim uvidom dostavlja se na adresu:</w:t>
      </w:r>
    </w:p>
    <w:p w:rsidR="00990D73" w:rsidRDefault="00945E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Grad Vinkovci</w:t>
      </w:r>
    </w:p>
    <w:p w:rsidR="00990D73" w:rsidRDefault="00945E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Upravni odjel društvenih djelatnosti</w:t>
      </w:r>
    </w:p>
    <w:p w:rsidR="00990D73" w:rsidRDefault="00945E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Bana Jelačića 1</w:t>
      </w:r>
    </w:p>
    <w:p w:rsidR="00990D73" w:rsidRDefault="00945E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32100 Vinkovci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Upravni odjel društvenih </w:t>
      </w:r>
      <w:r>
        <w:rPr>
          <w:rFonts w:ascii="Times New Roman" w:hAnsi="Times New Roman" w:cs="Times New Roman"/>
          <w:color w:val="000000"/>
          <w:sz w:val="24"/>
          <w:szCs w:val="24"/>
        </w:rPr>
        <w:t>djelatnosti  dužan je u roku od 8 radnih dana od dana primitka zahtjeva prijavitelju dati na uvid Obrazac za vrednovanje i ocjenu predmetne prijave.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Prijavitelju se na uvid može dati samo obrazac koji se odnosi na njegovu prijavu.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za naknadnim uvid</w:t>
      </w:r>
      <w:r>
        <w:rPr>
          <w:rFonts w:ascii="Times New Roman" w:hAnsi="Times New Roman" w:cs="Times New Roman"/>
          <w:color w:val="000000"/>
          <w:sz w:val="24"/>
          <w:szCs w:val="24"/>
        </w:rPr>
        <w:t>om u ocjenu kvalitete prijavljenog programa ne smatra se prigovorom.</w:t>
      </w:r>
    </w:p>
    <w:p w:rsidR="00990D73" w:rsidRDefault="00990D7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0D73" w:rsidRDefault="00945E9F">
      <w:pPr>
        <w:pStyle w:val="Naslov1"/>
        <w:spacing w:before="0"/>
        <w:rPr>
          <w:rFonts w:ascii="Times New Roman" w:hAnsi="Times New Roman" w:cs="Times New Roman"/>
          <w:b/>
          <w:bCs/>
          <w:color w:val="000000"/>
        </w:rPr>
      </w:pPr>
      <w:bookmarkStart w:id="28" w:name="_Toc440013927"/>
      <w:r>
        <w:rPr>
          <w:rFonts w:ascii="Times New Roman" w:hAnsi="Times New Roman" w:cs="Times New Roman"/>
          <w:b/>
          <w:bCs/>
          <w:color w:val="000000"/>
        </w:rPr>
        <w:t>5. NAČIN I UVJETI FINANCIRANJA ODABRANIH    PROGRAMA</w:t>
      </w:r>
      <w:bookmarkEnd w:id="28"/>
    </w:p>
    <w:p w:rsidR="00990D73" w:rsidRDefault="00990D73"/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29" w:name="_Toc440013928"/>
      <w:r>
        <w:rPr>
          <w:rFonts w:ascii="Times New Roman" w:hAnsi="Times New Roman" w:cs="Times New Roman"/>
          <w:b/>
          <w:bCs/>
          <w:color w:val="000000"/>
        </w:rPr>
        <w:t>5.1. Ugovor o sufinanciranju</w:t>
      </w:r>
      <w:bookmarkEnd w:id="29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donošenju Odluke o odabiru Grad i odabrani prijavitelji sklapaju Ugovor o sufinanciranju provedbe p</w:t>
      </w:r>
      <w:r>
        <w:rPr>
          <w:rFonts w:ascii="Times New Roman" w:hAnsi="Times New Roman" w:cs="Times New Roman"/>
          <w:color w:val="000000"/>
          <w:sz w:val="24"/>
          <w:szCs w:val="24"/>
        </w:rPr>
        <w:t>rograma.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Ugovor se zaključuje najkasnije 30 dana od dana donošenja Odluke o odabiru.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Potpisivanjem Ugovora odabrani prijavitelji postaju korisnici financijske potpore.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Ugovorom o sufinanciranju utvrđuje se:</w:t>
      </w:r>
    </w:p>
    <w:p w:rsidR="00990D73" w:rsidRDefault="00945E9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iznos do kojeg Grad preuzima obvezu sufinanciranj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</w:p>
    <w:p w:rsidR="00990D73" w:rsidRDefault="00945E9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 i rokovi isplate financijske potpore,</w:t>
      </w:r>
    </w:p>
    <w:p w:rsidR="00990D73" w:rsidRDefault="00945E9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 podnošenja izvješća o utrošenim sredstvima od strane korisnika,</w:t>
      </w:r>
    </w:p>
    <w:p w:rsidR="00990D73" w:rsidRDefault="00945E9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rokovi za pojedine obveze korisnika,</w:t>
      </w:r>
    </w:p>
    <w:p w:rsidR="00990D73" w:rsidRDefault="00945E9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 provedbe nadzora i kontrole namjenskog korištenja sredstava,</w:t>
      </w:r>
    </w:p>
    <w:p w:rsidR="00990D73" w:rsidRDefault="00945E9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obveze i način označavanja vizualno</w:t>
      </w:r>
      <w:r>
        <w:rPr>
          <w:rFonts w:ascii="Times New Roman" w:hAnsi="Times New Roman" w:cs="Times New Roman"/>
          <w:color w:val="000000"/>
          <w:sz w:val="24"/>
          <w:szCs w:val="24"/>
        </w:rPr>
        <w:t>g identiteta Grada,</w:t>
      </w:r>
    </w:p>
    <w:p w:rsidR="00990D73" w:rsidRDefault="00945E9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uvjeti pod kojima je korisnik dužan izvršiti povrat sredstava u proračun Grada i drugo.</w:t>
      </w:r>
    </w:p>
    <w:p w:rsidR="00990D73" w:rsidRDefault="00990D7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Korisnik financijske potpore Ugovorom se utvrđuje kao isključivo odgovoran za provedbu sufinanciranog programa.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Korisnik financijske potpore prihva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ća da financijska sredstva dobivena iz proračuna Grada ni pod kojim uvjetima ne mogu za posljedicu imati ostvarivanje dobiti i da moraju biti ograničena na iznos potreban za izravnanje prihoda i rashoda programa. Dobit se u ovom slučaju definira kao višak </w:t>
      </w:r>
      <w:r>
        <w:rPr>
          <w:rFonts w:ascii="Times New Roman" w:hAnsi="Times New Roman" w:cs="Times New Roman"/>
          <w:color w:val="000000"/>
          <w:sz w:val="24"/>
          <w:szCs w:val="24"/>
        </w:rPr>
        <w:t>primljenih sredstava u odnosu na troškove programa.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2. Modeli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plaćanja</w:t>
      </w:r>
    </w:p>
    <w:p w:rsidR="00990D73" w:rsidRDefault="00990D7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Odobrena sredstva isplaćivati će se korisniku sukladno dinamici punjenja proračuna, predvidivo u jednakim mjesečnim obrocima, a temeljem zaključenog Ugovora o dodjeli sredstava. 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Ranija isplata sredstava moći će se izvršiti temeljem Ugovora o isplati akontacijskih sredstava zaključenog između udruge i Gradonačelnika  pod sljedećim uvjetima koji moraju biti kumulativno ispunjeni:</w:t>
      </w:r>
    </w:p>
    <w:p w:rsidR="00990D73" w:rsidRDefault="00945E9F">
      <w:pPr>
        <w:pStyle w:val="Odlomakpopisa"/>
        <w:numPr>
          <w:ilvl w:val="0"/>
          <w:numId w:val="8"/>
        </w:numPr>
        <w:spacing w:after="0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 je riječ o sredstvima koja su nužna za provedbu pr</w:t>
      </w:r>
      <w:r>
        <w:rPr>
          <w:rFonts w:ascii="Times New Roman" w:hAnsi="Times New Roman" w:cs="Times New Roman"/>
          <w:color w:val="000000"/>
          <w:sz w:val="24"/>
          <w:szCs w:val="24"/>
        </w:rPr>
        <w:t>ograma koji se izvršavao i bio financiran iz proračuna Grada i u protekloj godini</w:t>
      </w:r>
    </w:p>
    <w:p w:rsidR="00990D73" w:rsidRDefault="00945E9F">
      <w:pPr>
        <w:pStyle w:val="Odlomakpopisa"/>
        <w:numPr>
          <w:ilvl w:val="0"/>
          <w:numId w:val="8"/>
        </w:numPr>
        <w:spacing w:after="0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 se u Ugovoru o isplati akontacijskih sredstava naznači da će se isplaćena akontacijska sredstva uračunati u sredstva odobrena za provedbu programa, ako program bude odobre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</w:p>
    <w:p w:rsidR="00990D73" w:rsidRDefault="00945E9F">
      <w:pPr>
        <w:pStyle w:val="Odlomakpopisa"/>
        <w:numPr>
          <w:ilvl w:val="0"/>
          <w:numId w:val="8"/>
        </w:numPr>
        <w:spacing w:after="0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 se u ugovoru o isplati akontacijskih sredstava naznači da će se isplaćena akontacija morati vratiti ako program ne bude odobren za financiranje</w:t>
      </w:r>
    </w:p>
    <w:p w:rsidR="00990D73" w:rsidRDefault="00945E9F">
      <w:pPr>
        <w:pStyle w:val="Odlomakpopisa"/>
        <w:numPr>
          <w:ilvl w:val="0"/>
          <w:numId w:val="8"/>
        </w:numPr>
        <w:spacing w:after="0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financiranje putem akontacija može se provesti razmjerno isplatama izvršenim u istom razdoblju prethodne go</w:t>
      </w:r>
      <w:r>
        <w:rPr>
          <w:rFonts w:ascii="Times New Roman" w:hAnsi="Times New Roman" w:cs="Times New Roman"/>
          <w:color w:val="000000"/>
          <w:sz w:val="24"/>
          <w:szCs w:val="24"/>
        </w:rPr>
        <w:t>dine.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30" w:name="_Toc440013929"/>
      <w:r>
        <w:rPr>
          <w:rFonts w:ascii="Times New Roman" w:hAnsi="Times New Roman" w:cs="Times New Roman"/>
          <w:b/>
          <w:bCs/>
          <w:color w:val="000000"/>
        </w:rPr>
        <w:t>5.3. Praćenje provedbe programa i namjenskog korištenja sredstava</w:t>
      </w:r>
      <w:bookmarkEnd w:id="30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Korisnik je dužan voditi preciznu evidenciju svih računa nastalih tijekom provedbe programa. U roku od mjesec dana nakon završetka provedbe programa korisnik je dužan gradskom Upra</w:t>
      </w:r>
      <w:r>
        <w:rPr>
          <w:rFonts w:ascii="Times New Roman" w:hAnsi="Times New Roman" w:cs="Times New Roman"/>
          <w:color w:val="000000"/>
          <w:sz w:val="24"/>
          <w:szCs w:val="24"/>
        </w:rPr>
        <w:t>vnom odjelu društvenih djelatnosti dostaviti dokumentirano programsko i financijsko izvješće o namjenskom korištenju sredstava.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Grad ima pravo provesti kontrolu provedbe programa na licu mjesta kod korisnika, tijekom koje je korisnik dužan predstavnicima G</w:t>
      </w:r>
      <w:r>
        <w:rPr>
          <w:rFonts w:ascii="Times New Roman" w:hAnsi="Times New Roman" w:cs="Times New Roman"/>
          <w:color w:val="000000"/>
          <w:sz w:val="24"/>
          <w:szCs w:val="24"/>
        </w:rPr>
        <w:t>rada predočiti sve račune, računovodstvenu dokumentaciju i ostale prateće dokumente relevantne za financiranje programa.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Kontrolu na licu mjesta kod korisnika Grad može obaviti tijekom provedbe ili unutar godinu dana nakon završetka provedbe programa.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pStyle w:val="Naslov2"/>
        <w:spacing w:before="0" w:after="120"/>
        <w:rPr>
          <w:rFonts w:ascii="Times New Roman" w:hAnsi="Times New Roman" w:cs="Times New Roman"/>
          <w:b/>
          <w:bCs/>
          <w:color w:val="000000"/>
        </w:rPr>
      </w:pPr>
      <w:bookmarkStart w:id="31" w:name="_Toc440013930"/>
      <w:r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.4. Vidljivost programa i obveza isticanja vizualnog identiteta Grada</w:t>
      </w:r>
      <w:bookmarkEnd w:id="31"/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Korisnik je dužan u svim obavijestima prema krajnjim korisnicima programa i u svim kontaktima s medijima navesti da je program sufinanciran sredstvima Grada Vinkovaca.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Korisnik je dužan </w:t>
      </w:r>
      <w:r>
        <w:rPr>
          <w:rFonts w:ascii="Times New Roman" w:hAnsi="Times New Roman" w:cs="Times New Roman"/>
          <w:color w:val="000000"/>
          <w:sz w:val="24"/>
          <w:szCs w:val="24"/>
        </w:rPr>
        <w:t>u svim promidžbenim materijalima nastalim u sklopu provedbe programa istaknuti vizualni identitet Grada.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Izrazi  koji  se  koriste  u  dokumentaciji  Natječaja, a koji imaju rodno značenje, bez obzira na to jesu li korišteni u muškom ili ženskom rodu, obu</w:t>
      </w:r>
      <w:r>
        <w:rPr>
          <w:rFonts w:ascii="Times New Roman" w:hAnsi="Times New Roman" w:cs="Times New Roman"/>
          <w:color w:val="000000"/>
          <w:sz w:val="24"/>
          <w:szCs w:val="24"/>
        </w:rPr>
        <w:t>hvaćaju na jednak način muški i ženski rod.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602-02/19-01/04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2188/01-06-18-03</w:t>
      </w: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Vinkovci, 18. siječnja 2019. godine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45E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73" w:rsidRDefault="00990D73"/>
    <w:sectPr w:rsidR="00990D73">
      <w:footerReference w:type="default" r:id="rId42"/>
      <w:pgSz w:w="11906" w:h="16838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9F" w:rsidRDefault="00945E9F">
      <w:pPr>
        <w:spacing w:after="0"/>
      </w:pPr>
      <w:r>
        <w:separator/>
      </w:r>
    </w:p>
  </w:endnote>
  <w:endnote w:type="continuationSeparator" w:id="0">
    <w:p w:rsidR="00945E9F" w:rsidRDefault="00945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E06" w:rsidRDefault="00945E9F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936CE6">
      <w:rPr>
        <w:noProof/>
      </w:rPr>
      <w:t>2</w:t>
    </w:r>
    <w:r>
      <w:fldChar w:fldCharType="end"/>
    </w:r>
  </w:p>
  <w:p w:rsidR="00506E06" w:rsidRDefault="00945E9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9F" w:rsidRDefault="00945E9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45E9F" w:rsidRDefault="00945E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F4F"/>
    <w:multiLevelType w:val="multilevel"/>
    <w:tmpl w:val="BD946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C569DD"/>
    <w:multiLevelType w:val="multilevel"/>
    <w:tmpl w:val="22CE8E44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2" w15:restartNumberingAfterBreak="0">
    <w:nsid w:val="1EFE39AA"/>
    <w:multiLevelType w:val="multilevel"/>
    <w:tmpl w:val="C7FA4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50E5"/>
    <w:multiLevelType w:val="multilevel"/>
    <w:tmpl w:val="35A2D86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9666304"/>
    <w:multiLevelType w:val="multilevel"/>
    <w:tmpl w:val="B94E7B4E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646966EE"/>
    <w:multiLevelType w:val="multilevel"/>
    <w:tmpl w:val="0B5C33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7BF50E4"/>
    <w:multiLevelType w:val="multilevel"/>
    <w:tmpl w:val="DFDC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90D73"/>
    <w:rsid w:val="00936CE6"/>
    <w:rsid w:val="00945E9F"/>
    <w:rsid w:val="009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AD0AE-DE2B-4CD3-B0A7-8E91DA3B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/>
    </w:pPr>
    <w:rPr>
      <w:rFonts w:cs="Calibri"/>
    </w:rPr>
  </w:style>
  <w:style w:type="paragraph" w:styleId="Naslov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slov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Calibri Light"/>
      <w:color w:val="2E74B5"/>
      <w:sz w:val="32"/>
      <w:szCs w:val="32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rPr>
      <w:rFonts w:ascii="Calibri" w:eastAsia="Calibri" w:hAnsi="Calibri" w:cs="Calibri"/>
    </w:rPr>
  </w:style>
  <w:style w:type="paragraph" w:styleId="Odlomakpopisa">
    <w:name w:val="List Paragraph"/>
    <w:basedOn w:val="Normal"/>
    <w:pPr>
      <w:ind w:left="720"/>
    </w:pPr>
  </w:style>
  <w:style w:type="paragraph" w:styleId="TOCNaslov">
    <w:name w:val="TOC Heading"/>
    <w:basedOn w:val="Naslov1"/>
    <w:next w:val="Normal"/>
    <w:rPr>
      <w:lang w:eastAsia="hr-HR"/>
    </w:rPr>
  </w:style>
  <w:style w:type="paragraph" w:styleId="Sadraj1">
    <w:name w:val="toc 1"/>
    <w:basedOn w:val="Normal"/>
    <w:next w:val="Normal"/>
    <w:autoRedefine/>
    <w:pPr>
      <w:spacing w:after="100"/>
    </w:pPr>
  </w:style>
  <w:style w:type="paragraph" w:styleId="Sadraj2">
    <w:name w:val="toc 2"/>
    <w:basedOn w:val="Normal"/>
    <w:next w:val="Normal"/>
    <w:autoRedefine/>
    <w:pPr>
      <w:spacing w:after="100"/>
      <w:ind w:left="220"/>
    </w:pPr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440013901" TargetMode="External"/><Relationship Id="rId13" Type="http://schemas.openxmlformats.org/officeDocument/2006/relationships/hyperlink" Target="#_Toc440013906" TargetMode="External"/><Relationship Id="rId18" Type="http://schemas.openxmlformats.org/officeDocument/2006/relationships/hyperlink" Target="#_Toc440013911" TargetMode="External"/><Relationship Id="rId26" Type="http://schemas.openxmlformats.org/officeDocument/2006/relationships/hyperlink" Target="#_Toc440013919" TargetMode="External"/><Relationship Id="rId39" Type="http://schemas.openxmlformats.org/officeDocument/2006/relationships/hyperlink" Target="https://grad-vinkovci.hr/hr" TargetMode="External"/><Relationship Id="rId3" Type="http://schemas.openxmlformats.org/officeDocument/2006/relationships/settings" Target="settings.xml"/><Relationship Id="rId21" Type="http://schemas.openxmlformats.org/officeDocument/2006/relationships/hyperlink" Target="#_Toc440013914" TargetMode="External"/><Relationship Id="rId34" Type="http://schemas.openxmlformats.org/officeDocument/2006/relationships/hyperlink" Target="#_Toc440013927" TargetMode="External"/><Relationship Id="rId42" Type="http://schemas.openxmlformats.org/officeDocument/2006/relationships/footer" Target="footer1.xml"/><Relationship Id="rId7" Type="http://schemas.openxmlformats.org/officeDocument/2006/relationships/hyperlink" Target="#_Toc440013900" TargetMode="External"/><Relationship Id="rId12" Type="http://schemas.openxmlformats.org/officeDocument/2006/relationships/hyperlink" Target="#_Toc440013905" TargetMode="External"/><Relationship Id="rId17" Type="http://schemas.openxmlformats.org/officeDocument/2006/relationships/hyperlink" Target="#_Toc440013910" TargetMode="External"/><Relationship Id="rId25" Type="http://schemas.openxmlformats.org/officeDocument/2006/relationships/hyperlink" Target="#_Toc440013918" TargetMode="External"/><Relationship Id="rId33" Type="http://schemas.openxmlformats.org/officeDocument/2006/relationships/hyperlink" Target="#_Toc440013926" TargetMode="External"/><Relationship Id="rId38" Type="http://schemas.openxmlformats.org/officeDocument/2006/relationships/hyperlink" Target="https://grad-vinkovci.hr/hr" TargetMode="External"/><Relationship Id="rId2" Type="http://schemas.openxmlformats.org/officeDocument/2006/relationships/styles" Target="styles.xml"/><Relationship Id="rId16" Type="http://schemas.openxmlformats.org/officeDocument/2006/relationships/hyperlink" Target="#_Toc440013909" TargetMode="External"/><Relationship Id="rId20" Type="http://schemas.openxmlformats.org/officeDocument/2006/relationships/hyperlink" Target="#_Toc440013913" TargetMode="External"/><Relationship Id="rId29" Type="http://schemas.openxmlformats.org/officeDocument/2006/relationships/hyperlink" Target="#_Toc440013922" TargetMode="External"/><Relationship Id="rId41" Type="http://schemas.openxmlformats.org/officeDocument/2006/relationships/hyperlink" Target="https://grad-vinkovci.hr/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440013904" TargetMode="External"/><Relationship Id="rId24" Type="http://schemas.openxmlformats.org/officeDocument/2006/relationships/hyperlink" Target="#_Toc440013917" TargetMode="External"/><Relationship Id="rId32" Type="http://schemas.openxmlformats.org/officeDocument/2006/relationships/hyperlink" Target="#_Toc440013925" TargetMode="External"/><Relationship Id="rId37" Type="http://schemas.openxmlformats.org/officeDocument/2006/relationships/hyperlink" Target="#_Toc440013930" TargetMode="External"/><Relationship Id="rId40" Type="http://schemas.openxmlformats.org/officeDocument/2006/relationships/hyperlink" Target="mailto:kristina.toto@vinkovci.hr" TargetMode="External"/><Relationship Id="rId5" Type="http://schemas.openxmlformats.org/officeDocument/2006/relationships/footnotes" Target="footnotes.xml"/><Relationship Id="rId15" Type="http://schemas.openxmlformats.org/officeDocument/2006/relationships/hyperlink" Target="#_Toc440013908" TargetMode="External"/><Relationship Id="rId23" Type="http://schemas.openxmlformats.org/officeDocument/2006/relationships/hyperlink" Target="#_Toc440013916" TargetMode="External"/><Relationship Id="rId28" Type="http://schemas.openxmlformats.org/officeDocument/2006/relationships/hyperlink" Target="#_Toc440013921" TargetMode="External"/><Relationship Id="rId36" Type="http://schemas.openxmlformats.org/officeDocument/2006/relationships/hyperlink" Target="#_Toc440013929" TargetMode="External"/><Relationship Id="rId10" Type="http://schemas.openxmlformats.org/officeDocument/2006/relationships/hyperlink" Target="#_Toc440013903" TargetMode="External"/><Relationship Id="rId19" Type="http://schemas.openxmlformats.org/officeDocument/2006/relationships/hyperlink" Target="#_Toc440013912" TargetMode="External"/><Relationship Id="rId31" Type="http://schemas.openxmlformats.org/officeDocument/2006/relationships/hyperlink" Target="#_Toc44001392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_Toc440013902" TargetMode="External"/><Relationship Id="rId14" Type="http://schemas.openxmlformats.org/officeDocument/2006/relationships/hyperlink" Target="#_Toc440013907" TargetMode="External"/><Relationship Id="rId22" Type="http://schemas.openxmlformats.org/officeDocument/2006/relationships/hyperlink" Target="#_Toc440013915" TargetMode="External"/><Relationship Id="rId27" Type="http://schemas.openxmlformats.org/officeDocument/2006/relationships/hyperlink" Target="#_Toc440013920" TargetMode="External"/><Relationship Id="rId30" Type="http://schemas.openxmlformats.org/officeDocument/2006/relationships/hyperlink" Target="#_Toc440013923" TargetMode="External"/><Relationship Id="rId35" Type="http://schemas.openxmlformats.org/officeDocument/2006/relationships/hyperlink" Target="#_Toc440013928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Tehnološki Park</cp:lastModifiedBy>
  <cp:revision>3</cp:revision>
  <cp:lastPrinted>2019-01-16T14:12:00Z</cp:lastPrinted>
  <dcterms:created xsi:type="dcterms:W3CDTF">2019-01-21T06:51:00Z</dcterms:created>
  <dcterms:modified xsi:type="dcterms:W3CDTF">2019-01-21T06:51:00Z</dcterms:modified>
</cp:coreProperties>
</file>